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283" w:rsidRDefault="00ED2283" w:rsidP="00ED2283">
      <w:pPr>
        <w:shd w:val="clear" w:color="auto" w:fill="FFFFFF"/>
        <w:spacing w:after="0" w:line="240" w:lineRule="auto"/>
        <w:rPr>
          <w:rFonts w:ascii="Arial" w:eastAsia="Times New Roman" w:hAnsi="Arial" w:cs="Arial"/>
          <w:b/>
          <w:color w:val="2E74B5" w:themeColor="accent1" w:themeShade="BF"/>
          <w:sz w:val="24"/>
          <w:szCs w:val="24"/>
          <w:u w:val="single"/>
          <w:lang w:eastAsia="en-GB"/>
        </w:rPr>
      </w:pPr>
    </w:p>
    <w:p w:rsidR="00ED2283" w:rsidRDefault="00ED2283" w:rsidP="00ED2283">
      <w:pPr>
        <w:shd w:val="clear" w:color="auto" w:fill="FFFFFF"/>
        <w:spacing w:after="0" w:line="240" w:lineRule="auto"/>
        <w:rPr>
          <w:rFonts w:ascii="Arial" w:eastAsia="Times New Roman" w:hAnsi="Arial" w:cs="Arial"/>
          <w:b/>
          <w:color w:val="2E74B5" w:themeColor="accent1" w:themeShade="BF"/>
          <w:sz w:val="24"/>
          <w:szCs w:val="24"/>
          <w:u w:val="single"/>
          <w:lang w:eastAsia="en-GB"/>
        </w:rPr>
      </w:pPr>
    </w:p>
    <w:p w:rsidR="00ED2283" w:rsidRDefault="00ED2283" w:rsidP="00ED2283">
      <w:pPr>
        <w:shd w:val="clear" w:color="auto" w:fill="FFFFFF"/>
        <w:spacing w:after="0" w:line="240" w:lineRule="auto"/>
        <w:rPr>
          <w:rFonts w:ascii="Arial" w:eastAsia="Times New Roman" w:hAnsi="Arial" w:cs="Arial"/>
          <w:b/>
          <w:color w:val="2E74B5" w:themeColor="accent1" w:themeShade="BF"/>
          <w:sz w:val="24"/>
          <w:szCs w:val="24"/>
          <w:u w:val="single"/>
          <w:lang w:eastAsia="en-GB"/>
        </w:rPr>
      </w:pPr>
    </w:p>
    <w:p w:rsidR="00ED2283" w:rsidRPr="00ED2283" w:rsidRDefault="00ED2283" w:rsidP="00E02395">
      <w:pPr>
        <w:shd w:val="clear" w:color="auto" w:fill="FFFFFF"/>
        <w:spacing w:after="0" w:line="240" w:lineRule="auto"/>
        <w:ind w:right="-170"/>
        <w:rPr>
          <w:rFonts w:ascii="Arial" w:eastAsia="Times New Roman" w:hAnsi="Arial" w:cs="Arial"/>
          <w:b/>
          <w:color w:val="2E74B5" w:themeColor="accent1" w:themeShade="BF"/>
          <w:sz w:val="24"/>
          <w:szCs w:val="24"/>
          <w:u w:val="single"/>
          <w:lang w:eastAsia="en-GB"/>
        </w:rPr>
      </w:pPr>
      <w:r>
        <w:rPr>
          <w:rFonts w:ascii="Arial" w:eastAsia="Times New Roman" w:hAnsi="Arial" w:cs="Arial"/>
          <w:b/>
          <w:color w:val="2E74B5" w:themeColor="accent1" w:themeShade="BF"/>
          <w:sz w:val="24"/>
          <w:szCs w:val="24"/>
          <w:u w:val="single"/>
          <w:lang w:eastAsia="en-GB"/>
        </w:rPr>
        <w:t>Bright Ideas in Health Awards 2015 – Innovation in Primary Care Category</w:t>
      </w:r>
    </w:p>
    <w:p w:rsidR="000276D9" w:rsidRDefault="000276D9" w:rsidP="000276D9">
      <w:pPr>
        <w:shd w:val="clear" w:color="auto" w:fill="FFFFFF"/>
        <w:spacing w:after="0" w:line="240" w:lineRule="auto"/>
        <w:ind w:right="-170"/>
        <w:jc w:val="center"/>
        <w:rPr>
          <w:rFonts w:ascii="Arial" w:eastAsia="Times New Roman" w:hAnsi="Arial" w:cs="Arial"/>
          <w:b/>
          <w:color w:val="000000"/>
          <w:sz w:val="24"/>
          <w:szCs w:val="24"/>
          <w:lang w:eastAsia="en-GB"/>
        </w:rPr>
      </w:pPr>
    </w:p>
    <w:p w:rsidR="000276D9" w:rsidRDefault="000276D9" w:rsidP="000276D9">
      <w:pPr>
        <w:shd w:val="clear" w:color="auto" w:fill="FFFFFF"/>
        <w:spacing w:after="0" w:line="240" w:lineRule="auto"/>
        <w:ind w:right="-170"/>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Oxford Terrace and Rawling Road Medical Group</w:t>
      </w:r>
    </w:p>
    <w:p w:rsidR="000276D9" w:rsidRDefault="002521A1" w:rsidP="000276D9">
      <w:pPr>
        <w:shd w:val="clear" w:color="auto" w:fill="FFFFFF"/>
        <w:spacing w:after="0" w:line="240" w:lineRule="auto"/>
        <w:ind w:right="-170"/>
        <w:jc w:val="cente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Managing Frailty in the Community Though Personalised Care Planning</w:t>
      </w:r>
    </w:p>
    <w:p w:rsidR="000276D9" w:rsidRDefault="000276D9" w:rsidP="000276D9">
      <w:pPr>
        <w:shd w:val="clear" w:color="auto" w:fill="FFFFFF"/>
        <w:spacing w:after="0" w:line="240" w:lineRule="auto"/>
        <w:ind w:right="-170"/>
        <w:jc w:val="center"/>
        <w:rPr>
          <w:rFonts w:ascii="Arial" w:eastAsia="Times New Roman" w:hAnsi="Arial" w:cs="Arial"/>
          <w:b/>
          <w:color w:val="000000"/>
          <w:sz w:val="24"/>
          <w:szCs w:val="24"/>
          <w:lang w:eastAsia="en-GB"/>
        </w:rPr>
      </w:pPr>
    </w:p>
    <w:p w:rsidR="00ED2283" w:rsidRDefault="00ED2283" w:rsidP="00E02395">
      <w:pPr>
        <w:shd w:val="clear" w:color="auto" w:fill="FFFFFF"/>
        <w:spacing w:after="0" w:line="240" w:lineRule="auto"/>
        <w:ind w:right="-170"/>
        <w:rPr>
          <w:rFonts w:ascii="Arial" w:eastAsia="Times New Roman" w:hAnsi="Arial" w:cs="Arial"/>
          <w:b/>
          <w:color w:val="000000"/>
          <w:sz w:val="24"/>
          <w:szCs w:val="24"/>
          <w:lang w:eastAsia="en-GB"/>
        </w:rPr>
      </w:pPr>
      <w:r w:rsidRPr="00ED2283">
        <w:rPr>
          <w:rFonts w:ascii="Arial" w:eastAsia="Times New Roman" w:hAnsi="Arial" w:cs="Arial"/>
          <w:b/>
          <w:color w:val="000000"/>
          <w:sz w:val="24"/>
          <w:szCs w:val="24"/>
          <w:lang w:eastAsia="en-GB"/>
        </w:rPr>
        <w:t>The idea</w:t>
      </w:r>
    </w:p>
    <w:p w:rsidR="00D94E70" w:rsidRPr="00D94E70" w:rsidRDefault="00D94E70" w:rsidP="00E02395">
      <w:pPr>
        <w:shd w:val="clear" w:color="auto" w:fill="FFFFFF"/>
        <w:spacing w:after="0" w:line="240" w:lineRule="auto"/>
        <w:ind w:right="-170"/>
        <w:rPr>
          <w:rFonts w:ascii="Arial" w:eastAsia="Times New Roman" w:hAnsi="Arial" w:cs="Arial"/>
          <w:color w:val="000000"/>
          <w:sz w:val="24"/>
          <w:szCs w:val="24"/>
          <w:lang w:eastAsia="en-GB"/>
        </w:rPr>
      </w:pPr>
      <w:r w:rsidRPr="00D94E70">
        <w:rPr>
          <w:rFonts w:ascii="Arial" w:eastAsia="Times New Roman" w:hAnsi="Arial" w:cs="Arial"/>
          <w:color w:val="000000"/>
          <w:sz w:val="24"/>
          <w:szCs w:val="24"/>
          <w:lang w:eastAsia="en-GB"/>
        </w:rPr>
        <w:t>Managing Frailty in the Community Though Personalised Care Planning</w:t>
      </w:r>
    </w:p>
    <w:p w:rsidR="00ED2283" w:rsidRPr="00ED2283" w:rsidRDefault="00ED2283" w:rsidP="00E02395">
      <w:pPr>
        <w:shd w:val="clear" w:color="auto" w:fill="FFFFFF"/>
        <w:spacing w:after="0" w:line="240" w:lineRule="auto"/>
        <w:ind w:right="-170"/>
        <w:rPr>
          <w:rFonts w:ascii="Arial" w:eastAsia="Times New Roman" w:hAnsi="Arial" w:cs="Arial"/>
          <w:color w:val="000000"/>
          <w:sz w:val="24"/>
          <w:szCs w:val="24"/>
          <w:lang w:eastAsia="en-GB"/>
        </w:rPr>
      </w:pPr>
    </w:p>
    <w:p w:rsidR="00ED2283" w:rsidRPr="00E02395" w:rsidRDefault="00ED2283" w:rsidP="00E02395">
      <w:pPr>
        <w:shd w:val="clear" w:color="auto" w:fill="FFFFFF"/>
        <w:spacing w:after="0" w:line="240" w:lineRule="auto"/>
        <w:ind w:right="-170"/>
        <w:rPr>
          <w:rFonts w:ascii="Arial" w:eastAsia="Times New Roman" w:hAnsi="Arial" w:cs="Arial"/>
          <w:b/>
          <w:color w:val="000000"/>
          <w:sz w:val="24"/>
          <w:szCs w:val="24"/>
          <w:lang w:eastAsia="en-GB"/>
        </w:rPr>
      </w:pPr>
      <w:r w:rsidRPr="00E02395">
        <w:rPr>
          <w:rFonts w:ascii="Arial" w:eastAsia="Times New Roman" w:hAnsi="Arial" w:cs="Arial"/>
          <w:b/>
          <w:color w:val="000000"/>
          <w:sz w:val="24"/>
          <w:szCs w:val="24"/>
          <w:lang w:eastAsia="en-GB"/>
        </w:rPr>
        <w:t>Describe the unmet need or problem the innovation addresses in primary care</w:t>
      </w:r>
    </w:p>
    <w:p w:rsidR="00ED2283" w:rsidRDefault="00ED2283" w:rsidP="00E02395">
      <w:pPr>
        <w:shd w:val="clear" w:color="auto" w:fill="FFFFFF"/>
        <w:spacing w:after="0" w:line="240" w:lineRule="auto"/>
        <w:ind w:right="-170"/>
        <w:rPr>
          <w:rFonts w:ascii="Arial" w:eastAsia="Times New Roman" w:hAnsi="Arial" w:cs="Arial"/>
          <w:color w:val="000000"/>
          <w:sz w:val="24"/>
          <w:szCs w:val="24"/>
          <w:lang w:eastAsia="en-GB"/>
        </w:rPr>
      </w:pPr>
    </w:p>
    <w:p w:rsidR="002521A1" w:rsidRDefault="006332DC" w:rsidP="00E02395">
      <w:pPr>
        <w:ind w:right="-170"/>
        <w:rPr>
          <w:rFonts w:ascii="Arial" w:hAnsi="Arial" w:cs="Arial"/>
        </w:rPr>
      </w:pPr>
      <w:r>
        <w:rPr>
          <w:rFonts w:ascii="Arial" w:hAnsi="Arial" w:cs="Arial"/>
        </w:rPr>
        <w:t>Oxford Terrace and Rawling Road Medical Group (OTMG</w:t>
      </w:r>
      <w:r w:rsidR="001372F3">
        <w:rPr>
          <w:rFonts w:ascii="Arial" w:hAnsi="Arial" w:cs="Arial"/>
        </w:rPr>
        <w:t>-</w:t>
      </w:r>
      <w:r>
        <w:rPr>
          <w:rFonts w:ascii="Arial" w:hAnsi="Arial" w:cs="Arial"/>
        </w:rPr>
        <w:t xml:space="preserve">RR) is a GP practice, situated in Central Gateshead. The population of about 15,200 patients is predominantly deprived, with high numbers of refugees and asylum seekers. We have a particular passion for patients with complex care needs and using a risk stratification tool we identified that about 2500 of our patients with multiple comorbidities were at high risk of being admitted to hospital. </w:t>
      </w:r>
      <w:r w:rsidR="002521A1">
        <w:rPr>
          <w:rFonts w:ascii="Arial" w:hAnsi="Arial" w:cs="Arial"/>
        </w:rPr>
        <w:t xml:space="preserve">100 of these patients were house bound and did not meet the criteria for access to community matrons. Despite having community matrons attached to the practice our trajectory for attendances and admissions to hospital were increasing. </w:t>
      </w:r>
    </w:p>
    <w:p w:rsidR="002521A1" w:rsidRDefault="002521A1" w:rsidP="00E02395">
      <w:pPr>
        <w:ind w:right="-170"/>
        <w:rPr>
          <w:rFonts w:ascii="Arial" w:hAnsi="Arial" w:cs="Arial"/>
        </w:rPr>
      </w:pPr>
      <w:r>
        <w:rPr>
          <w:noProof/>
          <w:lang w:eastAsia="en-GB"/>
        </w:rPr>
        <w:drawing>
          <wp:inline distT="0" distB="0" distL="0" distR="0" wp14:anchorId="1AA0F8CC" wp14:editId="225B32F2">
            <wp:extent cx="5731510" cy="1559020"/>
            <wp:effectExtent l="0" t="0" r="2540" b="3175"/>
            <wp:docPr id="7172" name="Picture 16"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16" descr="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59020"/>
                    </a:xfrm>
                    <a:prstGeom prst="rect">
                      <a:avLst/>
                    </a:prstGeom>
                    <a:noFill/>
                    <a:ln>
                      <a:noFill/>
                    </a:ln>
                    <a:extLst/>
                  </pic:spPr>
                </pic:pic>
              </a:graphicData>
            </a:graphic>
          </wp:inline>
        </w:drawing>
      </w:r>
    </w:p>
    <w:p w:rsidR="002521A1" w:rsidRDefault="002521A1" w:rsidP="00E02395">
      <w:pPr>
        <w:ind w:right="-170"/>
        <w:rPr>
          <w:rFonts w:ascii="Arial" w:hAnsi="Arial" w:cs="Arial"/>
        </w:rPr>
      </w:pPr>
    </w:p>
    <w:p w:rsidR="00ED2283" w:rsidRDefault="00ED2283" w:rsidP="00ED2283">
      <w:pPr>
        <w:shd w:val="clear" w:color="auto" w:fill="FFFFFF"/>
        <w:spacing w:after="0" w:line="240" w:lineRule="auto"/>
        <w:rPr>
          <w:rFonts w:ascii="Arial" w:eastAsia="Times New Roman" w:hAnsi="Arial" w:cs="Arial"/>
          <w:b/>
          <w:color w:val="000000"/>
          <w:sz w:val="24"/>
          <w:szCs w:val="24"/>
          <w:lang w:eastAsia="en-GB"/>
        </w:rPr>
      </w:pPr>
      <w:r w:rsidRPr="00E02395">
        <w:rPr>
          <w:rFonts w:ascii="Arial" w:eastAsia="Times New Roman" w:hAnsi="Arial" w:cs="Arial"/>
          <w:b/>
          <w:color w:val="000000"/>
          <w:sz w:val="24"/>
          <w:szCs w:val="24"/>
          <w:lang w:eastAsia="en-GB"/>
        </w:rPr>
        <w:t>Describe the solution and how it works</w:t>
      </w:r>
    </w:p>
    <w:p w:rsidR="002521A1" w:rsidRPr="000521AB" w:rsidRDefault="002521A1" w:rsidP="002521A1">
      <w:pPr>
        <w:rPr>
          <w:rFonts w:ascii="Arial" w:hAnsi="Arial" w:cs="Arial"/>
        </w:rPr>
      </w:pPr>
      <w:r>
        <w:rPr>
          <w:rFonts w:ascii="Arial" w:hAnsi="Arial" w:cs="Arial"/>
        </w:rPr>
        <w:t xml:space="preserve">An experienced Older Persons Specialist Nurse (OPSN) was recruited by South Tyneside NHS Foundation Trust and released on secondment to implement the principles of Comprehensive Geriatric Assessment to achieve continuity of care for elderly patients with complex health and social care needs. </w:t>
      </w:r>
    </w:p>
    <w:p w:rsidR="00ED2283" w:rsidRPr="00B80368" w:rsidRDefault="00ED2283" w:rsidP="00ED2283">
      <w:pPr>
        <w:shd w:val="clear" w:color="auto" w:fill="FFFFFF"/>
        <w:spacing w:after="0" w:line="240" w:lineRule="auto"/>
        <w:rPr>
          <w:rFonts w:ascii="Arial" w:eastAsia="Times New Roman" w:hAnsi="Arial" w:cs="Arial"/>
          <w:b/>
          <w:color w:val="000000"/>
          <w:sz w:val="24"/>
          <w:szCs w:val="24"/>
          <w:lang w:eastAsia="en-GB"/>
        </w:rPr>
      </w:pPr>
      <w:r w:rsidRPr="00B80368">
        <w:rPr>
          <w:rFonts w:ascii="Arial" w:eastAsia="Times New Roman" w:hAnsi="Arial" w:cs="Arial"/>
          <w:b/>
          <w:color w:val="000000"/>
          <w:sz w:val="24"/>
          <w:szCs w:val="24"/>
          <w:lang w:eastAsia="en-GB"/>
        </w:rPr>
        <w:t>What is the benefit of this innovation over current methods or products used?</w:t>
      </w:r>
    </w:p>
    <w:p w:rsidR="00ED2283" w:rsidRDefault="00ED2283" w:rsidP="00ED2283">
      <w:pPr>
        <w:shd w:val="clear" w:color="auto" w:fill="FFFFFF"/>
        <w:spacing w:after="0" w:line="240" w:lineRule="auto"/>
        <w:rPr>
          <w:rFonts w:ascii="Arial" w:eastAsia="Times New Roman" w:hAnsi="Arial" w:cs="Arial"/>
          <w:b/>
          <w:color w:val="000000"/>
          <w:sz w:val="24"/>
          <w:szCs w:val="24"/>
          <w:lang w:eastAsia="en-GB"/>
        </w:rPr>
      </w:pPr>
      <w:r w:rsidRPr="00B80368">
        <w:rPr>
          <w:rFonts w:ascii="Arial" w:eastAsia="Times New Roman" w:hAnsi="Arial" w:cs="Arial"/>
          <w:b/>
          <w:color w:val="000000"/>
          <w:sz w:val="24"/>
          <w:szCs w:val="24"/>
          <w:lang w:eastAsia="en-GB"/>
        </w:rPr>
        <w:t>What is the current status of the innovation?</w:t>
      </w:r>
    </w:p>
    <w:p w:rsidR="002521A1" w:rsidRDefault="002521A1" w:rsidP="002521A1">
      <w:pPr>
        <w:rPr>
          <w:rFonts w:ascii="Arial" w:hAnsi="Arial" w:cs="Arial"/>
          <w:b/>
        </w:rPr>
      </w:pPr>
    </w:p>
    <w:p w:rsidR="002521A1" w:rsidRDefault="002521A1" w:rsidP="002521A1">
      <w:pPr>
        <w:rPr>
          <w:rFonts w:ascii="Arial" w:hAnsi="Arial" w:cs="Arial"/>
        </w:rPr>
      </w:pPr>
      <w:r>
        <w:rPr>
          <w:rFonts w:ascii="Arial" w:hAnsi="Arial" w:cs="Arial"/>
        </w:rPr>
        <w:t>In the first 8 months of this project to May 31</w:t>
      </w:r>
      <w:r w:rsidRPr="002837C6">
        <w:rPr>
          <w:rFonts w:ascii="Arial" w:hAnsi="Arial" w:cs="Arial"/>
          <w:vertAlign w:val="superscript"/>
        </w:rPr>
        <w:t>st</w:t>
      </w:r>
      <w:r>
        <w:rPr>
          <w:rFonts w:ascii="Arial" w:hAnsi="Arial" w:cs="Arial"/>
        </w:rPr>
        <w:t xml:space="preserve"> 2014 , </w:t>
      </w:r>
      <w:r>
        <w:rPr>
          <w:rFonts w:ascii="Arial" w:hAnsi="Arial" w:cs="Arial"/>
          <w:b/>
        </w:rPr>
        <w:t xml:space="preserve">94 housebound patients </w:t>
      </w:r>
      <w:r>
        <w:rPr>
          <w:rFonts w:ascii="Arial" w:hAnsi="Arial" w:cs="Arial"/>
        </w:rPr>
        <w:t xml:space="preserve">with an </w:t>
      </w:r>
      <w:r w:rsidRPr="00DA098E">
        <w:rPr>
          <w:rFonts w:ascii="Arial" w:hAnsi="Arial" w:cs="Arial"/>
          <w:b/>
        </w:rPr>
        <w:t>Average Age</w:t>
      </w:r>
      <w:r>
        <w:rPr>
          <w:rFonts w:ascii="Arial" w:hAnsi="Arial" w:cs="Arial"/>
        </w:rPr>
        <w:t xml:space="preserve"> of </w:t>
      </w:r>
      <w:r w:rsidRPr="00DA098E">
        <w:rPr>
          <w:rFonts w:ascii="Arial" w:hAnsi="Arial" w:cs="Arial"/>
          <w:b/>
        </w:rPr>
        <w:t>85 years</w:t>
      </w:r>
      <w:r>
        <w:rPr>
          <w:rFonts w:ascii="Arial" w:hAnsi="Arial" w:cs="Arial"/>
        </w:rPr>
        <w:t xml:space="preserve"> ,were referred to the OPSN and had care planned and implemented,  using the principals of Comprehensive Geriatric Assessment . </w:t>
      </w:r>
    </w:p>
    <w:p w:rsidR="002521A1" w:rsidRPr="000521AB" w:rsidRDefault="002521A1" w:rsidP="002521A1">
      <w:pPr>
        <w:rPr>
          <w:rFonts w:ascii="Arial" w:hAnsi="Arial" w:cs="Arial"/>
        </w:rPr>
      </w:pPr>
      <w:r>
        <w:rPr>
          <w:rFonts w:ascii="Arial" w:hAnsi="Arial" w:cs="Arial"/>
        </w:rPr>
        <w:t xml:space="preserve">This role was based directly within the practice </w:t>
      </w:r>
      <w:r w:rsidR="00BE1024">
        <w:rPr>
          <w:rFonts w:ascii="Arial" w:hAnsi="Arial" w:cs="Arial"/>
        </w:rPr>
        <w:t xml:space="preserve">and provided </w:t>
      </w:r>
      <w:r>
        <w:rPr>
          <w:rFonts w:ascii="Arial" w:hAnsi="Arial" w:cs="Arial"/>
        </w:rPr>
        <w:t>the benefits of co-production with the core members of the PHCT</w:t>
      </w:r>
      <w:r w:rsidR="00BE1024">
        <w:rPr>
          <w:rFonts w:ascii="Arial" w:hAnsi="Arial" w:cs="Arial"/>
        </w:rPr>
        <w:t>, patients and their carers</w:t>
      </w:r>
      <w:r>
        <w:rPr>
          <w:rFonts w:ascii="Arial" w:hAnsi="Arial" w:cs="Arial"/>
        </w:rPr>
        <w:t xml:space="preserve"> working as equals in collaboration to optimise the health and well- being of frail older people. Equally, </w:t>
      </w:r>
      <w:r w:rsidR="00BE1024">
        <w:rPr>
          <w:rFonts w:ascii="Arial" w:hAnsi="Arial" w:cs="Arial"/>
        </w:rPr>
        <w:t>there were</w:t>
      </w:r>
      <w:r>
        <w:rPr>
          <w:rFonts w:ascii="Arial" w:hAnsi="Arial" w:cs="Arial"/>
        </w:rPr>
        <w:t xml:space="preserve"> rewards to the practice in terms of opportunities for peer </w:t>
      </w:r>
      <w:r w:rsidR="00B13309">
        <w:rPr>
          <w:rFonts w:ascii="Arial" w:hAnsi="Arial" w:cs="Arial"/>
        </w:rPr>
        <w:t>support; networking and sharing, and multi-disciplinary working</w:t>
      </w:r>
      <w:r>
        <w:rPr>
          <w:rFonts w:ascii="Arial" w:hAnsi="Arial" w:cs="Arial"/>
        </w:rPr>
        <w:t>. The appointment of a Nurse Specialist as a clinical leader with knowledge and skills in the care of older people, wide experience of effective multi-</w:t>
      </w:r>
      <w:r>
        <w:rPr>
          <w:rFonts w:ascii="Arial" w:hAnsi="Arial" w:cs="Arial"/>
        </w:rPr>
        <w:lastRenderedPageBreak/>
        <w:t xml:space="preserve">disciplinary and interagency working and awareness of the local and national drivers affecting the care of older people was a key component in the success of this. </w:t>
      </w:r>
    </w:p>
    <w:p w:rsidR="002521A1" w:rsidRPr="00932450" w:rsidRDefault="002521A1" w:rsidP="002521A1">
      <w:pPr>
        <w:rPr>
          <w:rFonts w:ascii="Arial" w:hAnsi="Arial" w:cs="Arial"/>
          <w:b/>
        </w:rPr>
      </w:pPr>
      <w:r w:rsidRPr="00932450">
        <w:rPr>
          <w:rFonts w:ascii="Arial" w:hAnsi="Arial" w:cs="Arial"/>
          <w:b/>
        </w:rPr>
        <w:t>Referrals in First 8 Months</w:t>
      </w:r>
    </w:p>
    <w:tbl>
      <w:tblPr>
        <w:tblStyle w:val="TableGrid"/>
        <w:tblW w:w="0" w:type="auto"/>
        <w:tblLook w:val="00A0" w:firstRow="1" w:lastRow="0" w:firstColumn="1" w:lastColumn="0" w:noHBand="0" w:noVBand="0"/>
      </w:tblPr>
      <w:tblGrid>
        <w:gridCol w:w="2913"/>
        <w:gridCol w:w="1164"/>
        <w:gridCol w:w="4785"/>
      </w:tblGrid>
      <w:tr w:rsidR="002521A1" w:rsidRPr="00932450" w:rsidTr="005B19DB">
        <w:tc>
          <w:tcPr>
            <w:tcW w:w="2913" w:type="dxa"/>
          </w:tcPr>
          <w:p w:rsidR="002521A1" w:rsidRPr="00932450" w:rsidRDefault="002521A1" w:rsidP="005B19DB">
            <w:pPr>
              <w:rPr>
                <w:rFonts w:ascii="Arial" w:hAnsi="Arial" w:cs="Arial"/>
                <w:sz w:val="22"/>
                <w:szCs w:val="22"/>
              </w:rPr>
            </w:pPr>
            <w:r w:rsidRPr="00932450">
              <w:rPr>
                <w:rFonts w:ascii="Arial" w:hAnsi="Arial" w:cs="Arial"/>
                <w:sz w:val="22"/>
                <w:szCs w:val="22"/>
              </w:rPr>
              <w:t>Referred female patients</w:t>
            </w:r>
          </w:p>
        </w:tc>
        <w:tc>
          <w:tcPr>
            <w:tcW w:w="1164" w:type="dxa"/>
          </w:tcPr>
          <w:p w:rsidR="002521A1" w:rsidRPr="00932450" w:rsidRDefault="002521A1" w:rsidP="005B19DB">
            <w:pPr>
              <w:rPr>
                <w:rFonts w:ascii="Arial" w:hAnsi="Arial" w:cs="Arial"/>
                <w:sz w:val="22"/>
                <w:szCs w:val="22"/>
              </w:rPr>
            </w:pPr>
            <w:r w:rsidRPr="00932450">
              <w:rPr>
                <w:rFonts w:ascii="Arial" w:hAnsi="Arial" w:cs="Arial"/>
                <w:sz w:val="22"/>
                <w:szCs w:val="22"/>
              </w:rPr>
              <w:t>62</w:t>
            </w:r>
          </w:p>
        </w:tc>
        <w:tc>
          <w:tcPr>
            <w:tcW w:w="4785" w:type="dxa"/>
          </w:tcPr>
          <w:p w:rsidR="002521A1" w:rsidRPr="00C02BF4" w:rsidRDefault="002521A1" w:rsidP="005B19DB">
            <w:pPr>
              <w:rPr>
                <w:rFonts w:ascii="Arial" w:hAnsi="Arial" w:cs="Arial"/>
                <w:sz w:val="22"/>
                <w:szCs w:val="22"/>
              </w:rPr>
            </w:pPr>
            <w:r w:rsidRPr="00C02BF4">
              <w:rPr>
                <w:rFonts w:ascii="Arial" w:hAnsi="Arial" w:cs="Arial"/>
                <w:sz w:val="22"/>
                <w:szCs w:val="22"/>
              </w:rPr>
              <w:t>67%</w:t>
            </w:r>
          </w:p>
        </w:tc>
      </w:tr>
      <w:tr w:rsidR="002521A1" w:rsidRPr="00932450" w:rsidTr="005B19DB">
        <w:tc>
          <w:tcPr>
            <w:tcW w:w="2913" w:type="dxa"/>
          </w:tcPr>
          <w:p w:rsidR="002521A1" w:rsidRPr="00932450" w:rsidRDefault="002521A1" w:rsidP="005B19DB">
            <w:pPr>
              <w:rPr>
                <w:rFonts w:ascii="Arial" w:hAnsi="Arial" w:cs="Arial"/>
                <w:sz w:val="22"/>
                <w:szCs w:val="22"/>
              </w:rPr>
            </w:pPr>
            <w:r w:rsidRPr="00932450">
              <w:rPr>
                <w:rFonts w:ascii="Arial" w:hAnsi="Arial" w:cs="Arial"/>
                <w:sz w:val="22"/>
                <w:szCs w:val="22"/>
              </w:rPr>
              <w:t>Referred male patients</w:t>
            </w:r>
          </w:p>
        </w:tc>
        <w:tc>
          <w:tcPr>
            <w:tcW w:w="1164" w:type="dxa"/>
          </w:tcPr>
          <w:p w:rsidR="002521A1" w:rsidRPr="00932450" w:rsidRDefault="002521A1" w:rsidP="005B19DB">
            <w:pPr>
              <w:rPr>
                <w:rFonts w:ascii="Arial" w:hAnsi="Arial" w:cs="Arial"/>
                <w:sz w:val="22"/>
                <w:szCs w:val="22"/>
              </w:rPr>
            </w:pPr>
            <w:r w:rsidRPr="00932450">
              <w:rPr>
                <w:rFonts w:ascii="Arial" w:hAnsi="Arial" w:cs="Arial"/>
                <w:sz w:val="22"/>
                <w:szCs w:val="22"/>
              </w:rPr>
              <w:t>32</w:t>
            </w:r>
          </w:p>
        </w:tc>
        <w:tc>
          <w:tcPr>
            <w:tcW w:w="4785" w:type="dxa"/>
          </w:tcPr>
          <w:p w:rsidR="002521A1" w:rsidRPr="00C02BF4" w:rsidRDefault="002521A1" w:rsidP="005B19DB">
            <w:pPr>
              <w:rPr>
                <w:rFonts w:ascii="Arial" w:hAnsi="Arial" w:cs="Arial"/>
                <w:sz w:val="22"/>
                <w:szCs w:val="22"/>
              </w:rPr>
            </w:pPr>
            <w:r w:rsidRPr="00C02BF4">
              <w:rPr>
                <w:rFonts w:ascii="Arial" w:hAnsi="Arial" w:cs="Arial"/>
                <w:sz w:val="22"/>
                <w:szCs w:val="22"/>
              </w:rPr>
              <w:t>3</w:t>
            </w:r>
            <w:r w:rsidRPr="005039CB">
              <w:rPr>
                <w:rFonts w:ascii="Arial" w:hAnsi="Arial" w:cs="Arial"/>
                <w:sz w:val="22"/>
                <w:szCs w:val="22"/>
              </w:rPr>
              <w:t>3</w:t>
            </w:r>
            <w:r w:rsidRPr="00C02BF4">
              <w:rPr>
                <w:rFonts w:ascii="Arial" w:hAnsi="Arial" w:cs="Arial"/>
                <w:sz w:val="22"/>
                <w:szCs w:val="22"/>
              </w:rPr>
              <w:t>%</w:t>
            </w:r>
          </w:p>
        </w:tc>
      </w:tr>
    </w:tbl>
    <w:p w:rsidR="002521A1" w:rsidRPr="00932450" w:rsidRDefault="002521A1" w:rsidP="002521A1">
      <w:pPr>
        <w:rPr>
          <w:rFonts w:ascii="Arial" w:hAnsi="Arial" w:cs="Arial"/>
        </w:rPr>
      </w:pPr>
    </w:p>
    <w:tbl>
      <w:tblPr>
        <w:tblStyle w:val="TableGrid"/>
        <w:tblW w:w="0" w:type="auto"/>
        <w:tblLook w:val="00A0" w:firstRow="1" w:lastRow="0" w:firstColumn="1" w:lastColumn="0" w:noHBand="0" w:noVBand="0"/>
      </w:tblPr>
      <w:tblGrid>
        <w:gridCol w:w="2913"/>
        <w:gridCol w:w="1170"/>
        <w:gridCol w:w="852"/>
        <w:gridCol w:w="3927"/>
      </w:tblGrid>
      <w:tr w:rsidR="002521A1" w:rsidRPr="00932450" w:rsidTr="005B19DB">
        <w:tc>
          <w:tcPr>
            <w:tcW w:w="2913" w:type="dxa"/>
          </w:tcPr>
          <w:p w:rsidR="002521A1" w:rsidRPr="00932450" w:rsidRDefault="002521A1" w:rsidP="005B19DB">
            <w:pPr>
              <w:rPr>
                <w:rFonts w:ascii="Arial" w:hAnsi="Arial" w:cs="Arial"/>
                <w:b/>
                <w:sz w:val="22"/>
                <w:szCs w:val="22"/>
              </w:rPr>
            </w:pPr>
            <w:r w:rsidRPr="00932450">
              <w:rPr>
                <w:rFonts w:ascii="Arial" w:hAnsi="Arial" w:cs="Arial"/>
                <w:b/>
                <w:sz w:val="22"/>
                <w:szCs w:val="22"/>
              </w:rPr>
              <w:t>Place of Residence</w:t>
            </w:r>
          </w:p>
        </w:tc>
        <w:tc>
          <w:tcPr>
            <w:tcW w:w="1170" w:type="dxa"/>
          </w:tcPr>
          <w:p w:rsidR="002521A1" w:rsidRPr="00932450" w:rsidRDefault="002521A1" w:rsidP="005B19DB">
            <w:pPr>
              <w:rPr>
                <w:rFonts w:ascii="Arial" w:hAnsi="Arial" w:cs="Arial"/>
                <w:b/>
                <w:sz w:val="22"/>
                <w:szCs w:val="22"/>
              </w:rPr>
            </w:pPr>
            <w:r w:rsidRPr="00932450">
              <w:rPr>
                <w:rFonts w:ascii="Arial" w:hAnsi="Arial" w:cs="Arial"/>
                <w:b/>
                <w:sz w:val="22"/>
                <w:szCs w:val="22"/>
              </w:rPr>
              <w:t>Numbers</w:t>
            </w:r>
          </w:p>
        </w:tc>
        <w:tc>
          <w:tcPr>
            <w:tcW w:w="852" w:type="dxa"/>
          </w:tcPr>
          <w:p w:rsidR="002521A1" w:rsidRPr="00932450" w:rsidRDefault="002521A1" w:rsidP="005B19DB">
            <w:pPr>
              <w:rPr>
                <w:rFonts w:ascii="Arial" w:hAnsi="Arial" w:cs="Arial"/>
                <w:b/>
                <w:sz w:val="22"/>
                <w:szCs w:val="22"/>
              </w:rPr>
            </w:pPr>
            <w:r w:rsidRPr="00932450">
              <w:rPr>
                <w:rFonts w:ascii="Arial" w:hAnsi="Arial" w:cs="Arial"/>
                <w:b/>
                <w:sz w:val="22"/>
                <w:szCs w:val="22"/>
              </w:rPr>
              <w:t>%</w:t>
            </w:r>
          </w:p>
        </w:tc>
        <w:tc>
          <w:tcPr>
            <w:tcW w:w="3927" w:type="dxa"/>
          </w:tcPr>
          <w:p w:rsidR="002521A1" w:rsidRPr="00932450" w:rsidRDefault="002521A1" w:rsidP="005B19DB">
            <w:pPr>
              <w:rPr>
                <w:rFonts w:ascii="Arial" w:hAnsi="Arial" w:cs="Arial"/>
                <w:b/>
                <w:sz w:val="22"/>
                <w:szCs w:val="22"/>
              </w:rPr>
            </w:pPr>
            <w:r w:rsidRPr="00932450">
              <w:rPr>
                <w:rFonts w:ascii="Arial" w:hAnsi="Arial" w:cs="Arial"/>
                <w:b/>
                <w:sz w:val="22"/>
                <w:szCs w:val="22"/>
              </w:rPr>
              <w:t>Comments</w:t>
            </w:r>
          </w:p>
        </w:tc>
      </w:tr>
      <w:tr w:rsidR="002521A1" w:rsidRPr="00932450" w:rsidTr="005B19DB">
        <w:tc>
          <w:tcPr>
            <w:tcW w:w="2913" w:type="dxa"/>
          </w:tcPr>
          <w:p w:rsidR="002521A1" w:rsidRPr="00932450" w:rsidRDefault="002521A1" w:rsidP="005B19DB">
            <w:pPr>
              <w:rPr>
                <w:rFonts w:ascii="Arial" w:hAnsi="Arial" w:cs="Arial"/>
                <w:sz w:val="22"/>
                <w:szCs w:val="22"/>
              </w:rPr>
            </w:pPr>
            <w:r w:rsidRPr="00932450">
              <w:rPr>
                <w:rFonts w:ascii="Arial" w:hAnsi="Arial" w:cs="Arial"/>
                <w:sz w:val="22"/>
                <w:szCs w:val="22"/>
              </w:rPr>
              <w:t>Own Home</w:t>
            </w:r>
          </w:p>
        </w:tc>
        <w:tc>
          <w:tcPr>
            <w:tcW w:w="1170" w:type="dxa"/>
          </w:tcPr>
          <w:p w:rsidR="002521A1" w:rsidRPr="00932450" w:rsidRDefault="002521A1" w:rsidP="005B19DB">
            <w:pPr>
              <w:rPr>
                <w:rFonts w:ascii="Arial" w:hAnsi="Arial" w:cs="Arial"/>
                <w:sz w:val="22"/>
                <w:szCs w:val="22"/>
              </w:rPr>
            </w:pPr>
            <w:r w:rsidRPr="00932450">
              <w:rPr>
                <w:rFonts w:ascii="Arial" w:hAnsi="Arial" w:cs="Arial"/>
                <w:sz w:val="22"/>
                <w:szCs w:val="22"/>
              </w:rPr>
              <w:t>83</w:t>
            </w:r>
          </w:p>
        </w:tc>
        <w:tc>
          <w:tcPr>
            <w:tcW w:w="852" w:type="dxa"/>
          </w:tcPr>
          <w:p w:rsidR="002521A1" w:rsidRPr="00C02BF4" w:rsidRDefault="002521A1" w:rsidP="005B19DB">
            <w:pPr>
              <w:rPr>
                <w:rFonts w:ascii="Arial" w:hAnsi="Arial" w:cs="Arial"/>
              </w:rPr>
            </w:pPr>
            <w:r w:rsidRPr="00C02BF4">
              <w:rPr>
                <w:rFonts w:ascii="Arial" w:hAnsi="Arial" w:cs="Arial"/>
              </w:rPr>
              <w:t>88%</w:t>
            </w:r>
          </w:p>
        </w:tc>
        <w:tc>
          <w:tcPr>
            <w:tcW w:w="3927" w:type="dxa"/>
          </w:tcPr>
          <w:p w:rsidR="002521A1" w:rsidRPr="00932450" w:rsidRDefault="002521A1" w:rsidP="005B19DB">
            <w:pPr>
              <w:rPr>
                <w:rFonts w:ascii="Arial" w:hAnsi="Arial" w:cs="Arial"/>
              </w:rPr>
            </w:pPr>
            <w:r w:rsidRPr="00932450">
              <w:rPr>
                <w:rFonts w:ascii="Arial" w:hAnsi="Arial" w:cs="Arial"/>
              </w:rPr>
              <w:t xml:space="preserve">Largely housebound population Equally 53 carers / family members were actively supported by the OPSN </w:t>
            </w:r>
          </w:p>
        </w:tc>
      </w:tr>
      <w:tr w:rsidR="002521A1" w:rsidRPr="00932450" w:rsidTr="005B19DB">
        <w:tc>
          <w:tcPr>
            <w:tcW w:w="2913" w:type="dxa"/>
          </w:tcPr>
          <w:p w:rsidR="002521A1" w:rsidRPr="00932450" w:rsidRDefault="002521A1" w:rsidP="005B19DB">
            <w:pPr>
              <w:rPr>
                <w:rFonts w:ascii="Arial" w:hAnsi="Arial" w:cs="Arial"/>
              </w:rPr>
            </w:pPr>
            <w:r w:rsidRPr="00932450">
              <w:rPr>
                <w:rFonts w:ascii="Arial" w:hAnsi="Arial" w:cs="Arial"/>
              </w:rPr>
              <w:t>Assisted Living Scheme</w:t>
            </w:r>
          </w:p>
        </w:tc>
        <w:tc>
          <w:tcPr>
            <w:tcW w:w="1170" w:type="dxa"/>
          </w:tcPr>
          <w:p w:rsidR="002521A1" w:rsidRPr="00932450" w:rsidRDefault="002521A1" w:rsidP="005B19DB">
            <w:pPr>
              <w:rPr>
                <w:rFonts w:ascii="Arial" w:hAnsi="Arial" w:cs="Arial"/>
                <w:sz w:val="22"/>
                <w:szCs w:val="22"/>
              </w:rPr>
            </w:pPr>
            <w:r w:rsidRPr="00932450">
              <w:rPr>
                <w:rFonts w:ascii="Arial" w:hAnsi="Arial" w:cs="Arial"/>
                <w:sz w:val="22"/>
                <w:szCs w:val="22"/>
              </w:rPr>
              <w:t>17</w:t>
            </w:r>
          </w:p>
        </w:tc>
        <w:tc>
          <w:tcPr>
            <w:tcW w:w="852" w:type="dxa"/>
          </w:tcPr>
          <w:p w:rsidR="002521A1" w:rsidRPr="00C02BF4" w:rsidRDefault="002521A1" w:rsidP="005B19DB">
            <w:pPr>
              <w:rPr>
                <w:rFonts w:ascii="Arial" w:hAnsi="Arial" w:cs="Arial"/>
                <w:sz w:val="22"/>
                <w:szCs w:val="22"/>
              </w:rPr>
            </w:pPr>
            <w:r>
              <w:rPr>
                <w:rFonts w:ascii="Arial" w:hAnsi="Arial" w:cs="Arial"/>
                <w:sz w:val="22"/>
                <w:szCs w:val="22"/>
              </w:rPr>
              <w:t>18%</w:t>
            </w:r>
          </w:p>
        </w:tc>
        <w:tc>
          <w:tcPr>
            <w:tcW w:w="3927" w:type="dxa"/>
          </w:tcPr>
          <w:p w:rsidR="002521A1" w:rsidRPr="00932450" w:rsidRDefault="002521A1" w:rsidP="005B19DB">
            <w:pPr>
              <w:rPr>
                <w:rFonts w:ascii="Arial" w:hAnsi="Arial" w:cs="Arial"/>
              </w:rPr>
            </w:pPr>
            <w:r w:rsidRPr="00932450">
              <w:rPr>
                <w:rFonts w:ascii="Arial" w:hAnsi="Arial" w:cs="Arial"/>
              </w:rPr>
              <w:t>e.g.Housing 21, LA Schemes with on site carers / facilities.</w:t>
            </w:r>
          </w:p>
          <w:p w:rsidR="002521A1" w:rsidRPr="00932450" w:rsidRDefault="002521A1" w:rsidP="005B19DB">
            <w:pPr>
              <w:rPr>
                <w:rFonts w:ascii="Arial" w:hAnsi="Arial" w:cs="Arial"/>
              </w:rPr>
            </w:pPr>
            <w:r w:rsidRPr="00932450">
              <w:rPr>
                <w:rFonts w:ascii="Arial" w:hAnsi="Arial" w:cs="Arial"/>
              </w:rPr>
              <w:t>Potential for use of on site proactive clinics if numbers attached were significant enough</w:t>
            </w:r>
          </w:p>
        </w:tc>
      </w:tr>
      <w:tr w:rsidR="002521A1" w:rsidRPr="00932450" w:rsidTr="005B19DB">
        <w:tc>
          <w:tcPr>
            <w:tcW w:w="2913" w:type="dxa"/>
          </w:tcPr>
          <w:p w:rsidR="002521A1" w:rsidRPr="00932450" w:rsidRDefault="002521A1" w:rsidP="005B19DB">
            <w:pPr>
              <w:rPr>
                <w:rFonts w:ascii="Arial" w:hAnsi="Arial" w:cs="Arial"/>
                <w:i/>
              </w:rPr>
            </w:pPr>
            <w:r w:rsidRPr="00932450">
              <w:rPr>
                <w:rFonts w:ascii="Arial" w:hAnsi="Arial" w:cs="Arial"/>
                <w:i/>
              </w:rPr>
              <w:t>Sheltered Accommodation</w:t>
            </w:r>
          </w:p>
        </w:tc>
        <w:tc>
          <w:tcPr>
            <w:tcW w:w="1170" w:type="dxa"/>
          </w:tcPr>
          <w:p w:rsidR="002521A1" w:rsidRPr="00932450" w:rsidRDefault="002521A1" w:rsidP="005B19DB">
            <w:pPr>
              <w:rPr>
                <w:rFonts w:ascii="Arial" w:hAnsi="Arial" w:cs="Arial"/>
                <w:i/>
                <w:sz w:val="22"/>
                <w:szCs w:val="22"/>
              </w:rPr>
            </w:pPr>
            <w:r w:rsidRPr="00932450">
              <w:rPr>
                <w:rFonts w:ascii="Arial" w:hAnsi="Arial" w:cs="Arial"/>
                <w:i/>
                <w:sz w:val="22"/>
                <w:szCs w:val="22"/>
              </w:rPr>
              <w:t>4</w:t>
            </w:r>
          </w:p>
        </w:tc>
        <w:tc>
          <w:tcPr>
            <w:tcW w:w="852" w:type="dxa"/>
          </w:tcPr>
          <w:p w:rsidR="002521A1" w:rsidRPr="00C02BF4" w:rsidRDefault="002521A1" w:rsidP="005B19DB">
            <w:pPr>
              <w:rPr>
                <w:rFonts w:ascii="Arial" w:hAnsi="Arial" w:cs="Arial"/>
                <w:i/>
                <w:sz w:val="22"/>
                <w:szCs w:val="22"/>
              </w:rPr>
            </w:pPr>
            <w:r>
              <w:rPr>
                <w:rFonts w:ascii="Arial" w:hAnsi="Arial" w:cs="Arial"/>
                <w:i/>
                <w:sz w:val="22"/>
                <w:szCs w:val="22"/>
              </w:rPr>
              <w:t>4</w:t>
            </w:r>
            <w:r w:rsidRPr="00C02BF4">
              <w:rPr>
                <w:rFonts w:ascii="Arial" w:hAnsi="Arial" w:cs="Arial"/>
                <w:i/>
                <w:sz w:val="22"/>
                <w:szCs w:val="22"/>
              </w:rPr>
              <w:t>%</w:t>
            </w:r>
          </w:p>
        </w:tc>
        <w:tc>
          <w:tcPr>
            <w:tcW w:w="3927" w:type="dxa"/>
          </w:tcPr>
          <w:p w:rsidR="002521A1" w:rsidRPr="00932450" w:rsidRDefault="002521A1" w:rsidP="005B19DB">
            <w:pPr>
              <w:rPr>
                <w:rFonts w:ascii="Arial" w:hAnsi="Arial" w:cs="Arial"/>
                <w:i/>
              </w:rPr>
            </w:pPr>
            <w:r w:rsidRPr="00932450">
              <w:rPr>
                <w:rFonts w:ascii="Arial" w:hAnsi="Arial" w:cs="Arial"/>
                <w:i/>
              </w:rPr>
              <w:t>General schemes without on-site carers</w:t>
            </w:r>
          </w:p>
        </w:tc>
      </w:tr>
    </w:tbl>
    <w:p w:rsidR="002521A1" w:rsidRPr="00932450" w:rsidRDefault="002521A1" w:rsidP="002521A1">
      <w:pPr>
        <w:rPr>
          <w:rFonts w:ascii="Arial" w:hAnsi="Arial" w:cs="Arial"/>
        </w:rPr>
      </w:pPr>
    </w:p>
    <w:p w:rsidR="002521A1" w:rsidRPr="00C02BF4" w:rsidRDefault="002521A1" w:rsidP="002521A1">
      <w:pPr>
        <w:rPr>
          <w:rFonts w:ascii="Arial" w:hAnsi="Arial" w:cs="Arial"/>
          <w:b/>
        </w:rPr>
      </w:pPr>
      <w:r w:rsidRPr="00C02BF4">
        <w:rPr>
          <w:rFonts w:ascii="Arial" w:hAnsi="Arial" w:cs="Arial"/>
          <w:b/>
        </w:rPr>
        <w:t>Referral Sources</w:t>
      </w:r>
    </w:p>
    <w:tbl>
      <w:tblPr>
        <w:tblStyle w:val="TableGrid"/>
        <w:tblW w:w="0" w:type="auto"/>
        <w:tblLook w:val="01E0" w:firstRow="1" w:lastRow="1" w:firstColumn="1" w:lastColumn="1" w:noHBand="0" w:noVBand="0"/>
      </w:tblPr>
      <w:tblGrid>
        <w:gridCol w:w="2348"/>
        <w:gridCol w:w="1729"/>
        <w:gridCol w:w="852"/>
        <w:gridCol w:w="3933"/>
      </w:tblGrid>
      <w:tr w:rsidR="002521A1" w:rsidRPr="00932450" w:rsidTr="005B19DB">
        <w:tc>
          <w:tcPr>
            <w:tcW w:w="2348" w:type="dxa"/>
          </w:tcPr>
          <w:p w:rsidR="002521A1" w:rsidRPr="00932450" w:rsidRDefault="002521A1" w:rsidP="005B19DB">
            <w:pPr>
              <w:rPr>
                <w:rFonts w:ascii="Arial" w:hAnsi="Arial" w:cs="Arial"/>
                <w:b/>
                <w:sz w:val="22"/>
                <w:szCs w:val="22"/>
              </w:rPr>
            </w:pPr>
            <w:r w:rsidRPr="00932450">
              <w:rPr>
                <w:rFonts w:ascii="Arial" w:hAnsi="Arial" w:cs="Arial"/>
                <w:b/>
                <w:sz w:val="22"/>
                <w:szCs w:val="22"/>
              </w:rPr>
              <w:t>Referrer</w:t>
            </w:r>
          </w:p>
        </w:tc>
        <w:tc>
          <w:tcPr>
            <w:tcW w:w="1729" w:type="dxa"/>
          </w:tcPr>
          <w:p w:rsidR="002521A1" w:rsidRPr="00932450" w:rsidRDefault="002521A1" w:rsidP="005B19DB">
            <w:pPr>
              <w:rPr>
                <w:rFonts w:ascii="Arial" w:hAnsi="Arial" w:cs="Arial"/>
                <w:b/>
                <w:sz w:val="22"/>
                <w:szCs w:val="22"/>
              </w:rPr>
            </w:pPr>
            <w:r w:rsidRPr="00932450">
              <w:rPr>
                <w:rFonts w:ascii="Arial" w:hAnsi="Arial" w:cs="Arial"/>
                <w:b/>
                <w:sz w:val="22"/>
                <w:szCs w:val="22"/>
              </w:rPr>
              <w:t xml:space="preserve">Number </w:t>
            </w:r>
          </w:p>
        </w:tc>
        <w:tc>
          <w:tcPr>
            <w:tcW w:w="852" w:type="dxa"/>
          </w:tcPr>
          <w:p w:rsidR="002521A1" w:rsidRPr="00932450" w:rsidRDefault="002521A1" w:rsidP="005B19DB">
            <w:pPr>
              <w:rPr>
                <w:rFonts w:ascii="Arial" w:hAnsi="Arial" w:cs="Arial"/>
                <w:b/>
                <w:sz w:val="22"/>
                <w:szCs w:val="22"/>
              </w:rPr>
            </w:pPr>
            <w:r w:rsidRPr="00932450">
              <w:rPr>
                <w:rFonts w:ascii="Arial" w:hAnsi="Arial" w:cs="Arial"/>
                <w:b/>
                <w:sz w:val="22"/>
                <w:szCs w:val="22"/>
              </w:rPr>
              <w:t>%</w:t>
            </w:r>
          </w:p>
        </w:tc>
        <w:tc>
          <w:tcPr>
            <w:tcW w:w="3933" w:type="dxa"/>
          </w:tcPr>
          <w:p w:rsidR="002521A1" w:rsidRPr="00932450" w:rsidRDefault="002521A1" w:rsidP="005B19DB">
            <w:pPr>
              <w:rPr>
                <w:rFonts w:ascii="Arial" w:hAnsi="Arial" w:cs="Arial"/>
                <w:b/>
                <w:sz w:val="22"/>
                <w:szCs w:val="22"/>
              </w:rPr>
            </w:pPr>
            <w:r w:rsidRPr="00932450">
              <w:rPr>
                <w:rFonts w:ascii="Arial" w:hAnsi="Arial" w:cs="Arial"/>
                <w:b/>
                <w:sz w:val="22"/>
                <w:szCs w:val="22"/>
              </w:rPr>
              <w:t>Comments</w:t>
            </w:r>
          </w:p>
        </w:tc>
      </w:tr>
      <w:tr w:rsidR="002521A1" w:rsidRPr="00932450" w:rsidTr="005B19DB">
        <w:tc>
          <w:tcPr>
            <w:tcW w:w="2348" w:type="dxa"/>
          </w:tcPr>
          <w:p w:rsidR="002521A1" w:rsidRPr="00932450" w:rsidRDefault="002521A1" w:rsidP="005B19DB">
            <w:pPr>
              <w:rPr>
                <w:rFonts w:ascii="Arial" w:hAnsi="Arial" w:cs="Arial"/>
                <w:sz w:val="22"/>
                <w:szCs w:val="22"/>
              </w:rPr>
            </w:pPr>
            <w:r w:rsidRPr="00932450">
              <w:rPr>
                <w:rFonts w:ascii="Arial" w:hAnsi="Arial" w:cs="Arial"/>
                <w:sz w:val="22"/>
                <w:szCs w:val="22"/>
              </w:rPr>
              <w:t>General Practitioner</w:t>
            </w:r>
          </w:p>
        </w:tc>
        <w:tc>
          <w:tcPr>
            <w:tcW w:w="1729" w:type="dxa"/>
          </w:tcPr>
          <w:p w:rsidR="002521A1" w:rsidRPr="00932450" w:rsidRDefault="002521A1" w:rsidP="005B19DB">
            <w:pPr>
              <w:rPr>
                <w:rFonts w:ascii="Arial" w:hAnsi="Arial" w:cs="Arial"/>
                <w:sz w:val="22"/>
                <w:szCs w:val="22"/>
              </w:rPr>
            </w:pPr>
            <w:r w:rsidRPr="00932450">
              <w:rPr>
                <w:rFonts w:ascii="Arial" w:hAnsi="Arial" w:cs="Arial"/>
                <w:sz w:val="22"/>
                <w:szCs w:val="22"/>
              </w:rPr>
              <w:t>37</w:t>
            </w:r>
          </w:p>
        </w:tc>
        <w:tc>
          <w:tcPr>
            <w:tcW w:w="852" w:type="dxa"/>
          </w:tcPr>
          <w:p w:rsidR="002521A1" w:rsidRPr="00C02BF4" w:rsidRDefault="002521A1" w:rsidP="005B19DB">
            <w:pPr>
              <w:rPr>
                <w:rFonts w:ascii="Arial" w:hAnsi="Arial" w:cs="Arial"/>
                <w:sz w:val="22"/>
                <w:szCs w:val="22"/>
              </w:rPr>
            </w:pPr>
            <w:r>
              <w:rPr>
                <w:rFonts w:ascii="Arial" w:hAnsi="Arial" w:cs="Arial"/>
                <w:sz w:val="22"/>
                <w:szCs w:val="22"/>
              </w:rPr>
              <w:t>39%</w:t>
            </w:r>
          </w:p>
        </w:tc>
        <w:tc>
          <w:tcPr>
            <w:tcW w:w="3933" w:type="dxa"/>
          </w:tcPr>
          <w:p w:rsidR="002521A1" w:rsidRPr="00932450" w:rsidRDefault="002521A1" w:rsidP="005B19DB">
            <w:pPr>
              <w:rPr>
                <w:rFonts w:ascii="Arial" w:hAnsi="Arial" w:cs="Arial"/>
              </w:rPr>
            </w:pPr>
            <w:r w:rsidRPr="00932450">
              <w:rPr>
                <w:rFonts w:ascii="Arial" w:hAnsi="Arial" w:cs="Arial"/>
              </w:rPr>
              <w:t>10 GP’s within the practice made direct referrals to OPSN</w:t>
            </w:r>
          </w:p>
        </w:tc>
      </w:tr>
      <w:tr w:rsidR="002521A1" w:rsidRPr="00932450" w:rsidTr="005B19DB">
        <w:tc>
          <w:tcPr>
            <w:tcW w:w="2348" w:type="dxa"/>
          </w:tcPr>
          <w:p w:rsidR="002521A1" w:rsidRPr="00932450" w:rsidRDefault="002521A1" w:rsidP="005B19DB">
            <w:pPr>
              <w:rPr>
                <w:rFonts w:ascii="Arial" w:hAnsi="Arial" w:cs="Arial"/>
                <w:sz w:val="22"/>
                <w:szCs w:val="22"/>
              </w:rPr>
            </w:pPr>
            <w:r w:rsidRPr="00932450">
              <w:rPr>
                <w:rFonts w:ascii="Arial" w:hAnsi="Arial" w:cs="Arial"/>
                <w:sz w:val="22"/>
                <w:szCs w:val="22"/>
              </w:rPr>
              <w:t>Practice Based Nurse Practitioner</w:t>
            </w:r>
          </w:p>
        </w:tc>
        <w:tc>
          <w:tcPr>
            <w:tcW w:w="1729" w:type="dxa"/>
          </w:tcPr>
          <w:p w:rsidR="002521A1" w:rsidRPr="00932450" w:rsidRDefault="002521A1" w:rsidP="005B19DB">
            <w:pPr>
              <w:rPr>
                <w:rFonts w:ascii="Arial" w:hAnsi="Arial" w:cs="Arial"/>
                <w:sz w:val="22"/>
                <w:szCs w:val="22"/>
              </w:rPr>
            </w:pPr>
            <w:r w:rsidRPr="00932450">
              <w:rPr>
                <w:rFonts w:ascii="Arial" w:hAnsi="Arial" w:cs="Arial"/>
                <w:sz w:val="22"/>
                <w:szCs w:val="22"/>
              </w:rPr>
              <w:t>19</w:t>
            </w:r>
          </w:p>
        </w:tc>
        <w:tc>
          <w:tcPr>
            <w:tcW w:w="852" w:type="dxa"/>
          </w:tcPr>
          <w:p w:rsidR="002521A1" w:rsidRPr="00C02BF4" w:rsidRDefault="002521A1" w:rsidP="005B19DB">
            <w:pPr>
              <w:rPr>
                <w:rFonts w:ascii="Arial" w:hAnsi="Arial" w:cs="Arial"/>
                <w:sz w:val="22"/>
                <w:szCs w:val="22"/>
              </w:rPr>
            </w:pPr>
            <w:r>
              <w:rPr>
                <w:rFonts w:ascii="Arial" w:hAnsi="Arial" w:cs="Arial"/>
                <w:sz w:val="22"/>
                <w:szCs w:val="22"/>
              </w:rPr>
              <w:t>20</w:t>
            </w:r>
            <w:r w:rsidRPr="00C02BF4">
              <w:rPr>
                <w:rFonts w:ascii="Arial" w:hAnsi="Arial" w:cs="Arial"/>
                <w:sz w:val="22"/>
                <w:szCs w:val="22"/>
              </w:rPr>
              <w:t>%</w:t>
            </w:r>
          </w:p>
        </w:tc>
        <w:tc>
          <w:tcPr>
            <w:tcW w:w="3933" w:type="dxa"/>
          </w:tcPr>
          <w:p w:rsidR="002521A1" w:rsidRPr="00932450" w:rsidRDefault="002521A1" w:rsidP="005B19DB">
            <w:pPr>
              <w:rPr>
                <w:rFonts w:ascii="Arial" w:hAnsi="Arial" w:cs="Arial"/>
              </w:rPr>
            </w:pPr>
            <w:r w:rsidRPr="00932450">
              <w:rPr>
                <w:rFonts w:ascii="Arial" w:hAnsi="Arial" w:cs="Arial"/>
              </w:rPr>
              <w:t>Referrals from 2 Nurses within the practice</w:t>
            </w:r>
          </w:p>
        </w:tc>
      </w:tr>
      <w:tr w:rsidR="002521A1" w:rsidRPr="00932450" w:rsidTr="005B19DB">
        <w:tc>
          <w:tcPr>
            <w:tcW w:w="2348" w:type="dxa"/>
          </w:tcPr>
          <w:p w:rsidR="002521A1" w:rsidRPr="00932450" w:rsidRDefault="002521A1" w:rsidP="005B19DB">
            <w:pPr>
              <w:rPr>
                <w:rFonts w:ascii="Arial" w:hAnsi="Arial" w:cs="Arial"/>
                <w:sz w:val="22"/>
                <w:szCs w:val="22"/>
              </w:rPr>
            </w:pPr>
            <w:r w:rsidRPr="00932450">
              <w:rPr>
                <w:rFonts w:ascii="Arial" w:hAnsi="Arial" w:cs="Arial"/>
                <w:sz w:val="22"/>
                <w:szCs w:val="22"/>
              </w:rPr>
              <w:t>Proactive Casefinding</w:t>
            </w:r>
          </w:p>
        </w:tc>
        <w:tc>
          <w:tcPr>
            <w:tcW w:w="1729" w:type="dxa"/>
          </w:tcPr>
          <w:p w:rsidR="002521A1" w:rsidRPr="00932450" w:rsidRDefault="002521A1" w:rsidP="005B19DB">
            <w:pPr>
              <w:rPr>
                <w:rFonts w:ascii="Arial" w:hAnsi="Arial" w:cs="Arial"/>
                <w:sz w:val="22"/>
                <w:szCs w:val="22"/>
              </w:rPr>
            </w:pPr>
            <w:r w:rsidRPr="00932450">
              <w:rPr>
                <w:rFonts w:ascii="Arial" w:hAnsi="Arial" w:cs="Arial"/>
                <w:sz w:val="22"/>
                <w:szCs w:val="22"/>
              </w:rPr>
              <w:t>25</w:t>
            </w:r>
          </w:p>
        </w:tc>
        <w:tc>
          <w:tcPr>
            <w:tcW w:w="852" w:type="dxa"/>
          </w:tcPr>
          <w:p w:rsidR="002521A1" w:rsidRPr="00C02BF4" w:rsidRDefault="002521A1" w:rsidP="005B19DB">
            <w:pPr>
              <w:rPr>
                <w:rFonts w:ascii="Arial" w:hAnsi="Arial" w:cs="Arial"/>
                <w:sz w:val="22"/>
                <w:szCs w:val="22"/>
              </w:rPr>
            </w:pPr>
            <w:r>
              <w:rPr>
                <w:rFonts w:ascii="Arial" w:hAnsi="Arial" w:cs="Arial"/>
                <w:sz w:val="22"/>
                <w:szCs w:val="22"/>
              </w:rPr>
              <w:t>26</w:t>
            </w:r>
            <w:r w:rsidRPr="00C02BF4">
              <w:rPr>
                <w:rFonts w:ascii="Arial" w:hAnsi="Arial" w:cs="Arial"/>
                <w:sz w:val="22"/>
                <w:szCs w:val="22"/>
              </w:rPr>
              <w:t>%</w:t>
            </w:r>
          </w:p>
        </w:tc>
        <w:tc>
          <w:tcPr>
            <w:tcW w:w="3933" w:type="dxa"/>
          </w:tcPr>
          <w:p w:rsidR="002521A1" w:rsidRPr="00932450" w:rsidRDefault="002521A1" w:rsidP="005B19DB">
            <w:pPr>
              <w:rPr>
                <w:rFonts w:ascii="Arial" w:hAnsi="Arial" w:cs="Arial"/>
              </w:rPr>
            </w:pPr>
            <w:r w:rsidRPr="00932450">
              <w:rPr>
                <w:rFonts w:ascii="Arial" w:hAnsi="Arial" w:cs="Arial"/>
              </w:rPr>
              <w:t>Conducted in initial month of project , focusing on over 80 years - cross referencing against the Housebound Flu list , previous 6 month housecall requests and  RADIAR</w:t>
            </w:r>
          </w:p>
        </w:tc>
      </w:tr>
      <w:tr w:rsidR="002521A1" w:rsidRPr="00932450" w:rsidTr="005B19DB">
        <w:tc>
          <w:tcPr>
            <w:tcW w:w="2348" w:type="dxa"/>
          </w:tcPr>
          <w:p w:rsidR="002521A1" w:rsidRPr="00932450" w:rsidRDefault="002521A1" w:rsidP="005B19DB">
            <w:pPr>
              <w:rPr>
                <w:rFonts w:ascii="Arial" w:hAnsi="Arial" w:cs="Arial"/>
                <w:sz w:val="22"/>
                <w:szCs w:val="22"/>
              </w:rPr>
            </w:pPr>
            <w:r w:rsidRPr="00932450">
              <w:rPr>
                <w:rFonts w:ascii="Arial" w:hAnsi="Arial" w:cs="Arial"/>
                <w:sz w:val="22"/>
                <w:szCs w:val="22"/>
              </w:rPr>
              <w:t>Self / Carer</w:t>
            </w:r>
          </w:p>
        </w:tc>
        <w:tc>
          <w:tcPr>
            <w:tcW w:w="1729" w:type="dxa"/>
          </w:tcPr>
          <w:p w:rsidR="002521A1" w:rsidRPr="00932450" w:rsidRDefault="002521A1" w:rsidP="005B19DB">
            <w:pPr>
              <w:rPr>
                <w:rFonts w:ascii="Arial" w:hAnsi="Arial" w:cs="Arial"/>
                <w:sz w:val="22"/>
                <w:szCs w:val="22"/>
              </w:rPr>
            </w:pPr>
            <w:r w:rsidRPr="00932450">
              <w:rPr>
                <w:rFonts w:ascii="Arial" w:hAnsi="Arial" w:cs="Arial"/>
                <w:sz w:val="22"/>
                <w:szCs w:val="22"/>
              </w:rPr>
              <w:t>5</w:t>
            </w:r>
          </w:p>
        </w:tc>
        <w:tc>
          <w:tcPr>
            <w:tcW w:w="852" w:type="dxa"/>
          </w:tcPr>
          <w:p w:rsidR="002521A1" w:rsidRPr="00C02BF4" w:rsidRDefault="002521A1" w:rsidP="005B19DB">
            <w:pPr>
              <w:rPr>
                <w:rFonts w:ascii="Arial" w:hAnsi="Arial" w:cs="Arial"/>
                <w:sz w:val="22"/>
                <w:szCs w:val="22"/>
              </w:rPr>
            </w:pPr>
            <w:r>
              <w:rPr>
                <w:rFonts w:ascii="Arial" w:hAnsi="Arial" w:cs="Arial"/>
                <w:sz w:val="22"/>
                <w:szCs w:val="22"/>
              </w:rPr>
              <w:t>5</w:t>
            </w:r>
            <w:r w:rsidRPr="00C02BF4">
              <w:rPr>
                <w:rFonts w:ascii="Arial" w:hAnsi="Arial" w:cs="Arial"/>
                <w:sz w:val="22"/>
                <w:szCs w:val="22"/>
              </w:rPr>
              <w:t>%</w:t>
            </w:r>
          </w:p>
        </w:tc>
        <w:tc>
          <w:tcPr>
            <w:tcW w:w="3933" w:type="dxa"/>
          </w:tcPr>
          <w:p w:rsidR="002521A1" w:rsidRPr="00932450" w:rsidRDefault="002521A1" w:rsidP="005B19DB">
            <w:pPr>
              <w:rPr>
                <w:rFonts w:ascii="Arial" w:hAnsi="Arial" w:cs="Arial"/>
              </w:rPr>
            </w:pPr>
            <w:r w:rsidRPr="00932450">
              <w:rPr>
                <w:rFonts w:ascii="Arial" w:hAnsi="Arial" w:cs="Arial"/>
              </w:rPr>
              <w:t>2 - HCP ‘s aware of OPSN role re: family members</w:t>
            </w:r>
          </w:p>
          <w:p w:rsidR="002521A1" w:rsidRPr="00932450" w:rsidRDefault="002521A1" w:rsidP="005B19DB">
            <w:pPr>
              <w:rPr>
                <w:rFonts w:ascii="Arial" w:hAnsi="Arial" w:cs="Arial"/>
              </w:rPr>
            </w:pPr>
            <w:r w:rsidRPr="00932450">
              <w:rPr>
                <w:rFonts w:ascii="Arial" w:hAnsi="Arial" w:cs="Arial"/>
              </w:rPr>
              <w:t>2 – spouses of patients on caseload</w:t>
            </w:r>
          </w:p>
          <w:p w:rsidR="002521A1" w:rsidRPr="00932450" w:rsidRDefault="002521A1" w:rsidP="005B19DB">
            <w:pPr>
              <w:rPr>
                <w:rFonts w:ascii="Arial" w:hAnsi="Arial" w:cs="Arial"/>
              </w:rPr>
            </w:pPr>
            <w:r w:rsidRPr="00932450">
              <w:rPr>
                <w:rFonts w:ascii="Arial" w:hAnsi="Arial" w:cs="Arial"/>
              </w:rPr>
              <w:t>1 – spouse stopped OPSN in corridor of sheltered accom.</w:t>
            </w:r>
          </w:p>
        </w:tc>
      </w:tr>
    </w:tbl>
    <w:p w:rsidR="002521A1" w:rsidRPr="00B80368" w:rsidRDefault="002521A1" w:rsidP="00ED2283">
      <w:pPr>
        <w:shd w:val="clear" w:color="auto" w:fill="FFFFFF"/>
        <w:spacing w:after="0" w:line="240" w:lineRule="auto"/>
        <w:rPr>
          <w:rFonts w:ascii="Arial" w:eastAsia="Times New Roman" w:hAnsi="Arial" w:cs="Arial"/>
          <w:b/>
          <w:color w:val="000000"/>
          <w:sz w:val="24"/>
          <w:szCs w:val="24"/>
          <w:lang w:eastAsia="en-GB"/>
        </w:rPr>
      </w:pPr>
    </w:p>
    <w:p w:rsidR="00BE1024" w:rsidRDefault="006332DC" w:rsidP="00BE1024">
      <w:pPr>
        <w:spacing w:after="360" w:line="240" w:lineRule="auto"/>
        <w:rPr>
          <w:rFonts w:ascii="Arial" w:eastAsia="Times New Roman" w:hAnsi="Arial" w:cs="Arial"/>
          <w:color w:val="000000"/>
          <w:lang w:eastAsia="en-GB"/>
        </w:rPr>
      </w:pPr>
      <w:r w:rsidRPr="00AA3D5C">
        <w:rPr>
          <w:rFonts w:ascii="Arial" w:eastAsia="Times New Roman" w:hAnsi="Arial" w:cs="Arial"/>
          <w:color w:val="000000"/>
          <w:lang w:eastAsia="en-GB"/>
        </w:rPr>
        <w:t xml:space="preserve">This </w:t>
      </w:r>
      <w:r w:rsidR="00BE1024">
        <w:rPr>
          <w:rFonts w:ascii="Arial" w:eastAsia="Times New Roman" w:hAnsi="Arial" w:cs="Arial"/>
          <w:color w:val="000000"/>
          <w:lang w:eastAsia="en-GB"/>
        </w:rPr>
        <w:t>post has become substantive in the practice. In addition</w:t>
      </w:r>
      <w:r w:rsidR="00B13309">
        <w:rPr>
          <w:rFonts w:ascii="Arial" w:eastAsia="Times New Roman" w:hAnsi="Arial" w:cs="Arial"/>
          <w:color w:val="000000"/>
          <w:lang w:eastAsia="en-GB"/>
        </w:rPr>
        <w:t>,</w:t>
      </w:r>
      <w:r w:rsidR="00BE1024">
        <w:rPr>
          <w:rFonts w:ascii="Arial" w:eastAsia="Times New Roman" w:hAnsi="Arial" w:cs="Arial"/>
          <w:color w:val="000000"/>
          <w:lang w:eastAsia="en-GB"/>
        </w:rPr>
        <w:t xml:space="preserve"> we have negotiated with our community services providers to have our community matron directly linked to the practice, making her more visible, available and a core part of our multi-disciplinary working. </w:t>
      </w:r>
      <w:r w:rsidRPr="00AA3D5C">
        <w:rPr>
          <w:rFonts w:ascii="Arial" w:eastAsia="Times New Roman" w:hAnsi="Arial" w:cs="Arial"/>
          <w:color w:val="000000"/>
          <w:lang w:eastAsia="en-GB"/>
        </w:rPr>
        <w:t>innovation has enabled us to strengthen the nursing</w:t>
      </w:r>
      <w:r w:rsidR="00BE1024">
        <w:rPr>
          <w:rFonts w:ascii="Arial" w:eastAsia="Times New Roman" w:hAnsi="Arial" w:cs="Arial"/>
          <w:color w:val="000000"/>
          <w:lang w:eastAsia="en-GB"/>
        </w:rPr>
        <w:t xml:space="preserve"> team with the right skills. She also use the practice clinical reporting system to ensure patient safety through improved communication.</w:t>
      </w:r>
    </w:p>
    <w:p w:rsidR="00ED2283" w:rsidRPr="00ED2283" w:rsidRDefault="00ED2283" w:rsidP="00BE1024">
      <w:pPr>
        <w:spacing w:after="360" w:line="240" w:lineRule="auto"/>
        <w:rPr>
          <w:rFonts w:ascii="Arial" w:eastAsia="Times New Roman" w:hAnsi="Arial" w:cs="Arial"/>
          <w:b/>
          <w:color w:val="000000"/>
          <w:sz w:val="24"/>
          <w:szCs w:val="24"/>
          <w:lang w:eastAsia="en-GB"/>
        </w:rPr>
      </w:pPr>
      <w:r w:rsidRPr="00ED2283">
        <w:rPr>
          <w:rFonts w:ascii="Arial" w:eastAsia="Times New Roman" w:hAnsi="Arial" w:cs="Arial"/>
          <w:b/>
          <w:color w:val="000000"/>
          <w:sz w:val="24"/>
          <w:szCs w:val="24"/>
          <w:lang w:eastAsia="en-GB"/>
        </w:rPr>
        <w:t>Evidence</w:t>
      </w:r>
    </w:p>
    <w:p w:rsidR="00ED2283" w:rsidRPr="00B80368" w:rsidRDefault="00ED2283" w:rsidP="00ED2283">
      <w:pPr>
        <w:shd w:val="clear" w:color="auto" w:fill="FFFFFF"/>
        <w:spacing w:after="0" w:line="240" w:lineRule="auto"/>
        <w:rPr>
          <w:rFonts w:ascii="Arial" w:eastAsia="Times New Roman" w:hAnsi="Arial" w:cs="Arial"/>
          <w:b/>
          <w:color w:val="000000"/>
          <w:sz w:val="24"/>
          <w:szCs w:val="24"/>
          <w:lang w:eastAsia="en-GB"/>
        </w:rPr>
      </w:pPr>
      <w:r w:rsidRPr="00B80368">
        <w:rPr>
          <w:rFonts w:ascii="Arial" w:eastAsia="Times New Roman" w:hAnsi="Arial" w:cs="Arial"/>
          <w:b/>
          <w:color w:val="000000"/>
          <w:sz w:val="24"/>
          <w:szCs w:val="24"/>
          <w:lang w:eastAsia="en-GB"/>
        </w:rPr>
        <w:t>Is there any evidence to demonstrate the effectiveness of the innovation?</w:t>
      </w:r>
    </w:p>
    <w:p w:rsidR="00BE1024" w:rsidRPr="00932450" w:rsidRDefault="00B13309" w:rsidP="00BE1024">
      <w:pPr>
        <w:rPr>
          <w:rFonts w:ascii="Arial" w:hAnsi="Arial" w:cs="Arial"/>
        </w:rPr>
      </w:pPr>
      <w:r>
        <w:rPr>
          <w:rFonts w:ascii="Arial" w:hAnsi="Arial" w:cs="Arial"/>
        </w:rPr>
        <w:t>Very early in this project  t</w:t>
      </w:r>
      <w:r w:rsidR="00BE1024">
        <w:rPr>
          <w:rFonts w:ascii="Arial" w:hAnsi="Arial" w:cs="Arial"/>
        </w:rPr>
        <w:t xml:space="preserve">he outcomes </w:t>
      </w:r>
      <w:r>
        <w:rPr>
          <w:rFonts w:ascii="Arial" w:hAnsi="Arial" w:cs="Arial"/>
        </w:rPr>
        <w:t>we</w:t>
      </w:r>
      <w:r w:rsidR="00BE1024" w:rsidRPr="00932450">
        <w:rPr>
          <w:rFonts w:ascii="Arial" w:hAnsi="Arial" w:cs="Arial"/>
        </w:rPr>
        <w:t>re reassuring, showing a downward trend in the use of several aspects of unscheduled care</w:t>
      </w:r>
      <w:r w:rsidR="00BE1024">
        <w:rPr>
          <w:rFonts w:ascii="Arial" w:hAnsi="Arial" w:cs="Arial"/>
        </w:rPr>
        <w:t xml:space="preserve"> and home visits</w:t>
      </w:r>
      <w:r w:rsidR="00BE1024" w:rsidRPr="00932450">
        <w:rPr>
          <w:rFonts w:ascii="Arial" w:hAnsi="Arial" w:cs="Arial"/>
        </w:rPr>
        <w:t>.</w:t>
      </w:r>
    </w:p>
    <w:p w:rsidR="00BE1024" w:rsidRDefault="00BE1024" w:rsidP="00BE1024">
      <w:pPr>
        <w:rPr>
          <w:rFonts w:ascii="Arial" w:hAnsi="Arial" w:cs="Arial"/>
        </w:rPr>
      </w:pPr>
    </w:p>
    <w:p w:rsidR="00BE1024" w:rsidRDefault="00BE1024" w:rsidP="00BE1024">
      <w:pPr>
        <w:rPr>
          <w:rFonts w:ascii="Arial" w:hAnsi="Arial" w:cs="Arial"/>
        </w:rPr>
      </w:pPr>
    </w:p>
    <w:p w:rsidR="00BE1024" w:rsidRPr="00932450" w:rsidRDefault="00BE1024" w:rsidP="00BE1024">
      <w:pPr>
        <w:rPr>
          <w:rFonts w:ascii="Arial" w:hAnsi="Arial" w:cs="Arial"/>
        </w:rPr>
      </w:pPr>
    </w:p>
    <w:p w:rsidR="00BE1024" w:rsidRPr="00932450" w:rsidRDefault="00BE1024" w:rsidP="00BE1024">
      <w:pPr>
        <w:rPr>
          <w:rFonts w:ascii="Arial" w:hAnsi="Arial" w:cs="Arial"/>
          <w:b/>
        </w:rPr>
      </w:pPr>
      <w:r w:rsidRPr="00932450">
        <w:rPr>
          <w:rFonts w:ascii="Arial" w:hAnsi="Arial" w:cs="Arial"/>
          <w:b/>
        </w:rPr>
        <w:lastRenderedPageBreak/>
        <w:t>Use of Unscheduled Care Findings</w:t>
      </w:r>
      <w:r>
        <w:rPr>
          <w:rFonts w:ascii="Arial" w:hAnsi="Arial" w:cs="Arial"/>
          <w:b/>
        </w:rPr>
        <w:t xml:space="preserve"> in First Nine Months of Project</w:t>
      </w:r>
    </w:p>
    <w:tbl>
      <w:tblPr>
        <w:tblStyle w:val="TableGrid"/>
        <w:tblW w:w="8897" w:type="dxa"/>
        <w:tblLook w:val="01E0" w:firstRow="1" w:lastRow="1" w:firstColumn="1" w:lastColumn="1" w:noHBand="0" w:noVBand="0"/>
      </w:tblPr>
      <w:tblGrid>
        <w:gridCol w:w="1604"/>
        <w:gridCol w:w="1906"/>
        <w:gridCol w:w="1701"/>
        <w:gridCol w:w="3686"/>
      </w:tblGrid>
      <w:tr w:rsidR="00BE1024" w:rsidRPr="00932450" w:rsidTr="00BE1024">
        <w:tc>
          <w:tcPr>
            <w:tcW w:w="1604" w:type="dxa"/>
          </w:tcPr>
          <w:p w:rsidR="00BE1024" w:rsidRPr="00932450" w:rsidRDefault="00BE1024" w:rsidP="005B19DB">
            <w:pPr>
              <w:rPr>
                <w:rFonts w:ascii="Arial" w:hAnsi="Arial" w:cs="Arial"/>
                <w:b/>
                <w:sz w:val="22"/>
                <w:szCs w:val="22"/>
              </w:rPr>
            </w:pPr>
            <w:r w:rsidRPr="00932450">
              <w:rPr>
                <w:rFonts w:ascii="Arial" w:hAnsi="Arial" w:cs="Arial"/>
                <w:b/>
                <w:sz w:val="22"/>
                <w:szCs w:val="22"/>
              </w:rPr>
              <w:t>Unscheduled Care</w:t>
            </w:r>
          </w:p>
        </w:tc>
        <w:tc>
          <w:tcPr>
            <w:tcW w:w="1906" w:type="dxa"/>
          </w:tcPr>
          <w:p w:rsidR="00BE1024" w:rsidRPr="00932450" w:rsidRDefault="00BE1024" w:rsidP="005B19DB">
            <w:pPr>
              <w:rPr>
                <w:rFonts w:ascii="Arial" w:hAnsi="Arial" w:cs="Arial"/>
                <w:b/>
                <w:sz w:val="22"/>
                <w:szCs w:val="22"/>
              </w:rPr>
            </w:pPr>
            <w:r w:rsidRPr="00932450">
              <w:rPr>
                <w:rFonts w:ascii="Arial" w:hAnsi="Arial" w:cs="Arial"/>
                <w:b/>
                <w:sz w:val="22"/>
                <w:szCs w:val="22"/>
              </w:rPr>
              <w:t xml:space="preserve">9 months Pre Project </w:t>
            </w:r>
          </w:p>
        </w:tc>
        <w:tc>
          <w:tcPr>
            <w:tcW w:w="1701" w:type="dxa"/>
          </w:tcPr>
          <w:p w:rsidR="00BE1024" w:rsidRPr="00932450" w:rsidRDefault="00BE1024" w:rsidP="005B19DB">
            <w:pPr>
              <w:rPr>
                <w:rFonts w:ascii="Arial" w:hAnsi="Arial" w:cs="Arial"/>
                <w:b/>
                <w:sz w:val="22"/>
                <w:szCs w:val="22"/>
              </w:rPr>
            </w:pPr>
            <w:r w:rsidRPr="00932450">
              <w:rPr>
                <w:rFonts w:ascii="Arial" w:hAnsi="Arial" w:cs="Arial"/>
                <w:b/>
                <w:sz w:val="22"/>
                <w:szCs w:val="22"/>
              </w:rPr>
              <w:t>Post Project</w:t>
            </w:r>
          </w:p>
        </w:tc>
        <w:tc>
          <w:tcPr>
            <w:tcW w:w="3686" w:type="dxa"/>
          </w:tcPr>
          <w:p w:rsidR="00BE1024" w:rsidRPr="00932450" w:rsidRDefault="00BE1024" w:rsidP="005B19DB">
            <w:pPr>
              <w:rPr>
                <w:rFonts w:ascii="Arial" w:hAnsi="Arial" w:cs="Arial"/>
                <w:b/>
                <w:sz w:val="22"/>
                <w:szCs w:val="22"/>
              </w:rPr>
            </w:pPr>
            <w:r w:rsidRPr="00932450">
              <w:rPr>
                <w:rFonts w:ascii="Arial" w:hAnsi="Arial" w:cs="Arial"/>
                <w:b/>
                <w:sz w:val="22"/>
                <w:szCs w:val="22"/>
              </w:rPr>
              <w:t>Comments</w:t>
            </w:r>
          </w:p>
        </w:tc>
      </w:tr>
      <w:tr w:rsidR="00BE1024" w:rsidRPr="00932450" w:rsidTr="00BE1024">
        <w:tc>
          <w:tcPr>
            <w:tcW w:w="1604" w:type="dxa"/>
          </w:tcPr>
          <w:p w:rsidR="00BE1024" w:rsidRPr="00932450" w:rsidRDefault="00BE1024" w:rsidP="005B19DB">
            <w:pPr>
              <w:rPr>
                <w:rFonts w:ascii="Arial" w:hAnsi="Arial" w:cs="Arial"/>
                <w:sz w:val="22"/>
                <w:szCs w:val="22"/>
              </w:rPr>
            </w:pPr>
            <w:r w:rsidRPr="00932450">
              <w:rPr>
                <w:rFonts w:ascii="Arial" w:hAnsi="Arial" w:cs="Arial"/>
                <w:sz w:val="22"/>
                <w:szCs w:val="22"/>
              </w:rPr>
              <w:t>A&amp;E Attendance</w:t>
            </w:r>
          </w:p>
        </w:tc>
        <w:tc>
          <w:tcPr>
            <w:tcW w:w="1906" w:type="dxa"/>
          </w:tcPr>
          <w:p w:rsidR="00BE1024" w:rsidRPr="00932450" w:rsidRDefault="00BE1024" w:rsidP="005B19DB">
            <w:pPr>
              <w:rPr>
                <w:rFonts w:ascii="Arial" w:hAnsi="Arial" w:cs="Arial"/>
                <w:sz w:val="22"/>
                <w:szCs w:val="22"/>
              </w:rPr>
            </w:pPr>
            <w:r w:rsidRPr="00932450">
              <w:rPr>
                <w:rFonts w:ascii="Arial" w:hAnsi="Arial" w:cs="Arial"/>
                <w:sz w:val="22"/>
                <w:szCs w:val="22"/>
              </w:rPr>
              <w:t>66</w:t>
            </w:r>
          </w:p>
        </w:tc>
        <w:tc>
          <w:tcPr>
            <w:tcW w:w="1701" w:type="dxa"/>
          </w:tcPr>
          <w:p w:rsidR="00BE1024" w:rsidRDefault="00BE1024" w:rsidP="005B19DB">
            <w:pPr>
              <w:rPr>
                <w:rFonts w:ascii="Arial" w:hAnsi="Arial" w:cs="Arial"/>
                <w:sz w:val="22"/>
                <w:szCs w:val="22"/>
              </w:rPr>
            </w:pPr>
            <w:r w:rsidRPr="00932450">
              <w:rPr>
                <w:rFonts w:ascii="Arial" w:hAnsi="Arial" w:cs="Arial"/>
                <w:sz w:val="22"/>
                <w:szCs w:val="22"/>
              </w:rPr>
              <w:t>30</w:t>
            </w:r>
          </w:p>
          <w:p w:rsidR="00BE1024" w:rsidRPr="00932450" w:rsidRDefault="00BE1024" w:rsidP="005B19DB">
            <w:pPr>
              <w:rPr>
                <w:rFonts w:ascii="Arial" w:hAnsi="Arial" w:cs="Arial"/>
                <w:sz w:val="22"/>
                <w:szCs w:val="22"/>
              </w:rPr>
            </w:pPr>
            <w:r>
              <w:rPr>
                <w:rFonts w:ascii="Arial" w:hAnsi="Arial" w:cs="Arial"/>
                <w:sz w:val="22"/>
                <w:szCs w:val="22"/>
              </w:rPr>
              <w:t>54% reduction</w:t>
            </w:r>
          </w:p>
        </w:tc>
        <w:tc>
          <w:tcPr>
            <w:tcW w:w="3686" w:type="dxa"/>
          </w:tcPr>
          <w:p w:rsidR="00BE1024" w:rsidRPr="00C61138" w:rsidRDefault="00BE1024" w:rsidP="005B19DB">
            <w:pPr>
              <w:rPr>
                <w:rFonts w:ascii="Arial" w:hAnsi="Arial" w:cs="Arial"/>
                <w:b/>
                <w:color w:val="FF0000"/>
                <w:sz w:val="22"/>
                <w:szCs w:val="22"/>
              </w:rPr>
            </w:pPr>
          </w:p>
        </w:tc>
      </w:tr>
      <w:tr w:rsidR="00BE1024" w:rsidRPr="00932450" w:rsidTr="00BE1024">
        <w:tc>
          <w:tcPr>
            <w:tcW w:w="1604" w:type="dxa"/>
          </w:tcPr>
          <w:p w:rsidR="00BE1024" w:rsidRPr="00932450" w:rsidRDefault="00BE1024" w:rsidP="005B19DB">
            <w:pPr>
              <w:rPr>
                <w:rFonts w:ascii="Arial" w:hAnsi="Arial" w:cs="Arial"/>
                <w:sz w:val="22"/>
                <w:szCs w:val="22"/>
              </w:rPr>
            </w:pPr>
            <w:r w:rsidRPr="00932450">
              <w:rPr>
                <w:rFonts w:ascii="Arial" w:hAnsi="Arial" w:cs="Arial"/>
                <w:sz w:val="22"/>
                <w:szCs w:val="22"/>
              </w:rPr>
              <w:t>Admissions</w:t>
            </w:r>
          </w:p>
        </w:tc>
        <w:tc>
          <w:tcPr>
            <w:tcW w:w="1906" w:type="dxa"/>
          </w:tcPr>
          <w:p w:rsidR="00BE1024" w:rsidRPr="00932450" w:rsidRDefault="00BE1024" w:rsidP="005B19DB">
            <w:pPr>
              <w:rPr>
                <w:rFonts w:ascii="Arial" w:hAnsi="Arial" w:cs="Arial"/>
                <w:sz w:val="22"/>
                <w:szCs w:val="22"/>
              </w:rPr>
            </w:pPr>
            <w:r w:rsidRPr="00932450">
              <w:rPr>
                <w:rFonts w:ascii="Arial" w:hAnsi="Arial" w:cs="Arial"/>
                <w:sz w:val="22"/>
                <w:szCs w:val="22"/>
              </w:rPr>
              <w:t>63</w:t>
            </w:r>
          </w:p>
        </w:tc>
        <w:tc>
          <w:tcPr>
            <w:tcW w:w="1701" w:type="dxa"/>
          </w:tcPr>
          <w:p w:rsidR="00BE1024" w:rsidRDefault="00BE1024" w:rsidP="005B19DB">
            <w:pPr>
              <w:rPr>
                <w:rFonts w:ascii="Arial" w:hAnsi="Arial" w:cs="Arial"/>
                <w:sz w:val="22"/>
                <w:szCs w:val="22"/>
              </w:rPr>
            </w:pPr>
            <w:r w:rsidRPr="00932450">
              <w:rPr>
                <w:rFonts w:ascii="Arial" w:hAnsi="Arial" w:cs="Arial"/>
                <w:sz w:val="22"/>
                <w:szCs w:val="22"/>
              </w:rPr>
              <w:t>29</w:t>
            </w:r>
          </w:p>
          <w:p w:rsidR="00BE1024" w:rsidRPr="00932450" w:rsidRDefault="00BE1024" w:rsidP="005B19DB">
            <w:pPr>
              <w:rPr>
                <w:rFonts w:ascii="Arial" w:hAnsi="Arial" w:cs="Arial"/>
                <w:sz w:val="22"/>
                <w:szCs w:val="22"/>
              </w:rPr>
            </w:pPr>
            <w:r>
              <w:rPr>
                <w:rFonts w:ascii="Arial" w:hAnsi="Arial" w:cs="Arial"/>
                <w:sz w:val="22"/>
                <w:szCs w:val="22"/>
              </w:rPr>
              <w:t>54% reduction</w:t>
            </w:r>
          </w:p>
        </w:tc>
        <w:tc>
          <w:tcPr>
            <w:tcW w:w="3686" w:type="dxa"/>
          </w:tcPr>
          <w:p w:rsidR="00BE1024" w:rsidRPr="00C61138" w:rsidRDefault="00BE1024" w:rsidP="005B19DB">
            <w:pPr>
              <w:rPr>
                <w:rFonts w:ascii="Arial" w:hAnsi="Arial" w:cs="Arial"/>
                <w:b/>
                <w:color w:val="FF0000"/>
                <w:sz w:val="22"/>
                <w:szCs w:val="22"/>
              </w:rPr>
            </w:pPr>
            <w:r w:rsidRPr="00932450">
              <w:rPr>
                <w:rFonts w:ascii="Arial" w:hAnsi="Arial" w:cs="Arial"/>
                <w:sz w:val="22"/>
                <w:szCs w:val="22"/>
              </w:rPr>
              <w:t>3 people were directly admitted by the OPSN – 2 to EAU and 1 to St Bede Unit directly for End of Life care.</w:t>
            </w:r>
            <w:r>
              <w:rPr>
                <w:rFonts w:ascii="Arial" w:hAnsi="Arial" w:cs="Arial"/>
                <w:sz w:val="22"/>
                <w:szCs w:val="22"/>
              </w:rPr>
              <w:t xml:space="preserve">  </w:t>
            </w:r>
          </w:p>
        </w:tc>
      </w:tr>
      <w:tr w:rsidR="00BE1024" w:rsidRPr="00932450" w:rsidTr="00BE1024">
        <w:tc>
          <w:tcPr>
            <w:tcW w:w="1604" w:type="dxa"/>
          </w:tcPr>
          <w:p w:rsidR="00BE1024" w:rsidRPr="00932450" w:rsidRDefault="00BE1024" w:rsidP="005B19DB">
            <w:pPr>
              <w:rPr>
                <w:rFonts w:ascii="Arial" w:hAnsi="Arial" w:cs="Arial"/>
                <w:sz w:val="22"/>
                <w:szCs w:val="22"/>
              </w:rPr>
            </w:pPr>
            <w:r w:rsidRPr="00932450">
              <w:rPr>
                <w:rFonts w:ascii="Arial" w:hAnsi="Arial" w:cs="Arial"/>
                <w:sz w:val="22"/>
                <w:szCs w:val="22"/>
              </w:rPr>
              <w:t>House Call</w:t>
            </w:r>
          </w:p>
          <w:p w:rsidR="00BE1024" w:rsidRPr="00932450" w:rsidRDefault="00BE1024" w:rsidP="005B19DB">
            <w:pPr>
              <w:rPr>
                <w:rFonts w:ascii="Arial" w:hAnsi="Arial" w:cs="Arial"/>
                <w:sz w:val="22"/>
                <w:szCs w:val="22"/>
              </w:rPr>
            </w:pPr>
            <w:r w:rsidRPr="00932450">
              <w:rPr>
                <w:rFonts w:ascii="Arial" w:hAnsi="Arial" w:cs="Arial"/>
                <w:sz w:val="22"/>
                <w:szCs w:val="22"/>
              </w:rPr>
              <w:t>requests</w:t>
            </w:r>
          </w:p>
        </w:tc>
        <w:tc>
          <w:tcPr>
            <w:tcW w:w="1906" w:type="dxa"/>
          </w:tcPr>
          <w:p w:rsidR="00BE1024" w:rsidRPr="00932450" w:rsidRDefault="00BE1024" w:rsidP="005B19DB">
            <w:pPr>
              <w:rPr>
                <w:rFonts w:ascii="Arial" w:hAnsi="Arial" w:cs="Arial"/>
                <w:sz w:val="22"/>
                <w:szCs w:val="22"/>
              </w:rPr>
            </w:pPr>
            <w:r w:rsidRPr="00932450">
              <w:rPr>
                <w:rFonts w:ascii="Arial" w:hAnsi="Arial" w:cs="Arial"/>
                <w:sz w:val="22"/>
                <w:szCs w:val="22"/>
              </w:rPr>
              <w:t>318</w:t>
            </w:r>
          </w:p>
        </w:tc>
        <w:tc>
          <w:tcPr>
            <w:tcW w:w="1701" w:type="dxa"/>
          </w:tcPr>
          <w:p w:rsidR="00BE1024" w:rsidRPr="00932450" w:rsidRDefault="00BE1024" w:rsidP="005B19DB">
            <w:pPr>
              <w:rPr>
                <w:rFonts w:ascii="Arial" w:hAnsi="Arial" w:cs="Arial"/>
                <w:sz w:val="22"/>
                <w:szCs w:val="22"/>
              </w:rPr>
            </w:pPr>
            <w:r w:rsidRPr="00932450">
              <w:rPr>
                <w:rFonts w:ascii="Arial" w:hAnsi="Arial" w:cs="Arial"/>
                <w:sz w:val="22"/>
                <w:szCs w:val="22"/>
              </w:rPr>
              <w:t>63</w:t>
            </w:r>
            <w:r>
              <w:rPr>
                <w:rFonts w:ascii="Arial" w:hAnsi="Arial" w:cs="Arial"/>
                <w:sz w:val="22"/>
                <w:szCs w:val="22"/>
              </w:rPr>
              <w:t xml:space="preserve"> – 81% reduction</w:t>
            </w:r>
          </w:p>
        </w:tc>
        <w:tc>
          <w:tcPr>
            <w:tcW w:w="3686" w:type="dxa"/>
          </w:tcPr>
          <w:p w:rsidR="00BE1024" w:rsidRPr="00C61138" w:rsidRDefault="00BE1024" w:rsidP="005B19DB">
            <w:pPr>
              <w:rPr>
                <w:rFonts w:ascii="Arial" w:hAnsi="Arial" w:cs="Arial"/>
                <w:b/>
                <w:color w:val="FF0000"/>
                <w:sz w:val="22"/>
                <w:szCs w:val="22"/>
              </w:rPr>
            </w:pPr>
          </w:p>
        </w:tc>
      </w:tr>
    </w:tbl>
    <w:p w:rsidR="00E02395" w:rsidRDefault="00E02395" w:rsidP="00ED2283">
      <w:pPr>
        <w:shd w:val="clear" w:color="auto" w:fill="FFFFFF"/>
        <w:spacing w:after="0" w:line="240" w:lineRule="auto"/>
        <w:rPr>
          <w:rFonts w:ascii="Arial" w:eastAsia="Times New Roman" w:hAnsi="Arial" w:cs="Arial"/>
          <w:b/>
          <w:color w:val="000000"/>
          <w:sz w:val="24"/>
          <w:szCs w:val="24"/>
          <w:lang w:eastAsia="en-GB"/>
        </w:rPr>
      </w:pPr>
    </w:p>
    <w:p w:rsidR="00B80368" w:rsidRDefault="00B13309" w:rsidP="00B13309">
      <w:pPr>
        <w:shd w:val="clear" w:color="auto" w:fill="FFFFFF"/>
        <w:spacing w:after="0" w:line="240" w:lineRule="auto"/>
        <w:rPr>
          <w:rFonts w:ascii="Arial" w:eastAsia="Times New Roman" w:hAnsi="Arial" w:cs="Arial"/>
          <w:color w:val="000000"/>
          <w:sz w:val="24"/>
          <w:szCs w:val="24"/>
          <w:lang w:eastAsia="en-GB"/>
        </w:rPr>
      </w:pPr>
      <w:r w:rsidRPr="00B13309">
        <w:rPr>
          <w:rFonts w:ascii="Arial" w:eastAsia="Times New Roman" w:hAnsi="Arial" w:cs="Arial"/>
          <w:color w:val="000000"/>
          <w:sz w:val="24"/>
          <w:szCs w:val="24"/>
          <w:lang w:eastAsia="en-GB"/>
        </w:rPr>
        <w:t xml:space="preserve">In addition: </w:t>
      </w:r>
    </w:p>
    <w:p w:rsidR="00B13309" w:rsidRDefault="00B13309" w:rsidP="00B13309">
      <w:pPr>
        <w:pStyle w:val="ListParagraph"/>
        <w:numPr>
          <w:ilvl w:val="0"/>
          <w:numId w:val="7"/>
        </w:numPr>
        <w:shd w:val="clear" w:color="auto" w:fill="FFFFFF"/>
        <w:spacing w:after="0" w:line="240" w:lineRule="auto"/>
        <w:rPr>
          <w:rFonts w:ascii="Arial" w:eastAsia="Times New Roman" w:hAnsi="Arial" w:cs="Arial"/>
          <w:color w:val="000000"/>
          <w:sz w:val="24"/>
          <w:szCs w:val="24"/>
          <w:lang w:eastAsia="en-GB"/>
        </w:rPr>
      </w:pPr>
      <w:r w:rsidRPr="00B13309">
        <w:rPr>
          <w:rFonts w:ascii="Arial" w:eastAsia="Times New Roman" w:hAnsi="Arial" w:cs="Arial"/>
          <w:color w:val="000000"/>
          <w:sz w:val="24"/>
          <w:szCs w:val="24"/>
          <w:lang w:eastAsia="en-GB"/>
        </w:rPr>
        <w:t xml:space="preserve">All </w:t>
      </w:r>
      <w:r>
        <w:rPr>
          <w:rFonts w:ascii="Arial" w:eastAsia="Times New Roman" w:hAnsi="Arial" w:cs="Arial"/>
          <w:color w:val="000000"/>
          <w:sz w:val="24"/>
          <w:szCs w:val="24"/>
          <w:lang w:eastAsia="en-GB"/>
        </w:rPr>
        <w:t>patient’s on the case load had a comprehensive care plan that was uploaded onto the adastra system for external organisations to enable integrated working;</w:t>
      </w:r>
    </w:p>
    <w:p w:rsidR="00B13309" w:rsidRDefault="00B13309" w:rsidP="00B13309">
      <w:pPr>
        <w:pStyle w:val="ListParagraph"/>
        <w:numPr>
          <w:ilvl w:val="0"/>
          <w:numId w:val="7"/>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53 carers were identified and also received support and were signposting to appropriate services;</w:t>
      </w:r>
    </w:p>
    <w:p w:rsidR="00B13309" w:rsidRPr="00B13309" w:rsidRDefault="00B13309" w:rsidP="00B13309">
      <w:pPr>
        <w:pStyle w:val="ListParagraph"/>
        <w:shd w:val="clear" w:color="auto" w:fill="FFFFFF"/>
        <w:spacing w:after="0" w:line="240" w:lineRule="auto"/>
        <w:rPr>
          <w:rFonts w:ascii="Arial" w:eastAsia="Times New Roman" w:hAnsi="Arial" w:cs="Arial"/>
          <w:color w:val="000000"/>
          <w:sz w:val="24"/>
          <w:szCs w:val="24"/>
          <w:lang w:eastAsia="en-GB"/>
        </w:rPr>
      </w:pPr>
    </w:p>
    <w:p w:rsidR="00B80368" w:rsidRPr="00AA3D5C" w:rsidRDefault="00B80368" w:rsidP="00B80368">
      <w:pPr>
        <w:shd w:val="clear" w:color="auto" w:fill="FFFFFF"/>
        <w:spacing w:after="0" w:line="240" w:lineRule="auto"/>
        <w:rPr>
          <w:rFonts w:ascii="Arial" w:eastAsia="Times New Roman" w:hAnsi="Arial" w:cs="Arial"/>
          <w:b/>
          <w:color w:val="000000"/>
          <w:sz w:val="24"/>
          <w:szCs w:val="24"/>
          <w:lang w:eastAsia="en-GB"/>
        </w:rPr>
      </w:pPr>
      <w:r w:rsidRPr="00AA3D5C">
        <w:rPr>
          <w:rFonts w:ascii="Arial" w:eastAsia="Times New Roman" w:hAnsi="Arial" w:cs="Arial"/>
          <w:b/>
          <w:color w:val="000000"/>
          <w:sz w:val="24"/>
          <w:szCs w:val="24"/>
          <w:lang w:eastAsia="en-GB"/>
        </w:rPr>
        <w:t>Are you aware of any companies/CCGs who deliver similar products or service innovations?</w:t>
      </w:r>
    </w:p>
    <w:p w:rsidR="00B80368" w:rsidRDefault="00AE5A1B" w:rsidP="00B8036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Similar interventions are normally provided through community services providers. However, access to these services is challenging as they are </w:t>
      </w:r>
      <w:r w:rsidR="00B13309">
        <w:rPr>
          <w:rFonts w:ascii="Arial" w:eastAsia="Times New Roman" w:hAnsi="Arial" w:cs="Arial"/>
          <w:color w:val="000000"/>
          <w:sz w:val="24"/>
          <w:szCs w:val="24"/>
          <w:lang w:eastAsia="en-GB"/>
        </w:rPr>
        <w:t>neither available nor</w:t>
      </w:r>
      <w:r>
        <w:rPr>
          <w:rFonts w:ascii="Arial" w:eastAsia="Times New Roman" w:hAnsi="Arial" w:cs="Arial"/>
          <w:color w:val="000000"/>
          <w:sz w:val="24"/>
          <w:szCs w:val="24"/>
          <w:lang w:eastAsia="en-GB"/>
        </w:rPr>
        <w:t xml:space="preserve"> visible in the practice. They have a reactive approach and referral criteria tend to exclude the group of patients we were targeting for this intervention. There is no incentive to manage these people proactively in general practice, other than the annual review required through the quality and outcomes framework. This is a process measure that evidences little improvement to outcomes for patients. With this intervention we aimed to move beyond the qof, to manage patients proactively in their own homes.</w:t>
      </w:r>
      <w:bookmarkStart w:id="0" w:name="_GoBack"/>
      <w:bookmarkEnd w:id="0"/>
    </w:p>
    <w:p w:rsidR="00AE5A1B" w:rsidRDefault="00AE5A1B" w:rsidP="00B80368">
      <w:pPr>
        <w:shd w:val="clear" w:color="auto" w:fill="FFFFFF"/>
        <w:spacing w:after="0" w:line="240" w:lineRule="auto"/>
        <w:rPr>
          <w:rFonts w:ascii="Arial" w:eastAsia="Times New Roman" w:hAnsi="Arial" w:cs="Arial"/>
          <w:color w:val="000000"/>
          <w:sz w:val="24"/>
          <w:szCs w:val="24"/>
          <w:lang w:eastAsia="en-GB"/>
        </w:rPr>
      </w:pPr>
    </w:p>
    <w:p w:rsidR="00ED2283" w:rsidRPr="00AE5A1B" w:rsidRDefault="00ED2283" w:rsidP="00ED2283">
      <w:pPr>
        <w:shd w:val="clear" w:color="auto" w:fill="FFFFFF"/>
        <w:spacing w:after="0" w:line="240" w:lineRule="auto"/>
        <w:rPr>
          <w:rFonts w:ascii="Arial" w:eastAsia="Times New Roman" w:hAnsi="Arial" w:cs="Arial"/>
          <w:b/>
          <w:color w:val="000000"/>
          <w:sz w:val="24"/>
          <w:szCs w:val="24"/>
          <w:lang w:eastAsia="en-GB"/>
        </w:rPr>
      </w:pPr>
      <w:r w:rsidRPr="00AE5A1B">
        <w:rPr>
          <w:rFonts w:ascii="Arial" w:eastAsia="Times New Roman" w:hAnsi="Arial" w:cs="Arial"/>
          <w:b/>
          <w:color w:val="000000"/>
          <w:sz w:val="24"/>
          <w:szCs w:val="24"/>
          <w:lang w:eastAsia="en-GB"/>
        </w:rPr>
        <w:t xml:space="preserve">Has your idea been disclosed to others? </w:t>
      </w:r>
    </w:p>
    <w:p w:rsidR="00B80368" w:rsidRDefault="004777AA" w:rsidP="00ED2283">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Yes, though learning and sharing events</w:t>
      </w:r>
      <w:r w:rsidR="00B13309">
        <w:rPr>
          <w:rFonts w:ascii="Arial" w:eastAsia="Times New Roman" w:hAnsi="Arial" w:cs="Arial"/>
          <w:color w:val="000000"/>
          <w:sz w:val="24"/>
          <w:szCs w:val="24"/>
          <w:lang w:eastAsia="en-GB"/>
        </w:rPr>
        <w:t xml:space="preserve">. Gateshead CCG has used this intervention to inform commissioning of future community services and it has informed service developments for the £5 per head funding recently allocated to practices to support patient’s out of hospital. </w:t>
      </w:r>
    </w:p>
    <w:p w:rsidR="00ED2283" w:rsidRDefault="00ED2283" w:rsidP="00ED2283">
      <w:pPr>
        <w:shd w:val="clear" w:color="auto" w:fill="FFFFFF"/>
        <w:spacing w:after="0" w:line="240" w:lineRule="auto"/>
        <w:rPr>
          <w:rFonts w:ascii="Arial" w:eastAsia="Times New Roman" w:hAnsi="Arial" w:cs="Arial"/>
          <w:color w:val="000000"/>
          <w:sz w:val="24"/>
          <w:szCs w:val="24"/>
          <w:lang w:eastAsia="en-GB"/>
        </w:rPr>
      </w:pPr>
    </w:p>
    <w:p w:rsidR="00ED2283" w:rsidRDefault="00ED2283" w:rsidP="004777AA">
      <w:pPr>
        <w:shd w:val="clear" w:color="auto" w:fill="FFFFFF"/>
        <w:spacing w:after="0" w:line="240" w:lineRule="auto"/>
        <w:rPr>
          <w:rFonts w:ascii="Arial" w:eastAsia="Times New Roman" w:hAnsi="Arial" w:cs="Arial"/>
          <w:b/>
          <w:color w:val="000000"/>
          <w:sz w:val="24"/>
          <w:szCs w:val="24"/>
          <w:lang w:eastAsia="en-GB"/>
        </w:rPr>
      </w:pPr>
      <w:r w:rsidRPr="004777AA">
        <w:rPr>
          <w:rFonts w:ascii="Arial" w:eastAsia="Times New Roman" w:hAnsi="Arial" w:cs="Arial"/>
          <w:b/>
          <w:color w:val="000000"/>
          <w:sz w:val="24"/>
          <w:szCs w:val="24"/>
          <w:lang w:eastAsia="en-GB"/>
        </w:rPr>
        <w:t>Describe any challenges that may need to be overcome to further develop and/or implement your idea</w:t>
      </w:r>
    </w:p>
    <w:p w:rsidR="004777AA" w:rsidRDefault="00B13309" w:rsidP="004777AA">
      <w:pPr>
        <w:pStyle w:val="ListParagraph"/>
        <w:numPr>
          <w:ilvl w:val="0"/>
          <w:numId w:val="4"/>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Reluctance of community service providers to base staff in GP practices and correspondingly the lack of accommodation for community staff to be based in practices; </w:t>
      </w:r>
    </w:p>
    <w:p w:rsidR="004777AA" w:rsidRDefault="004777AA" w:rsidP="004777AA">
      <w:pPr>
        <w:pStyle w:val="ListParagraph"/>
        <w:numPr>
          <w:ilvl w:val="0"/>
          <w:numId w:val="4"/>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mind-set of nurses and others working in general practice</w:t>
      </w:r>
      <w:r w:rsidR="002C6A07">
        <w:rPr>
          <w:rFonts w:ascii="Arial" w:eastAsia="Times New Roman" w:hAnsi="Arial" w:cs="Arial"/>
          <w:color w:val="000000"/>
          <w:sz w:val="24"/>
          <w:szCs w:val="24"/>
          <w:lang w:eastAsia="en-GB"/>
        </w:rPr>
        <w:t>/community services</w:t>
      </w:r>
      <w:r>
        <w:rPr>
          <w:rFonts w:ascii="Arial" w:eastAsia="Times New Roman" w:hAnsi="Arial" w:cs="Arial"/>
          <w:color w:val="000000"/>
          <w:sz w:val="24"/>
          <w:szCs w:val="24"/>
          <w:lang w:eastAsia="en-GB"/>
        </w:rPr>
        <w:t xml:space="preserve"> and their desire to change;</w:t>
      </w:r>
    </w:p>
    <w:p w:rsidR="004777AA" w:rsidRDefault="004777AA" w:rsidP="004777AA">
      <w:pPr>
        <w:pStyle w:val="ListParagraph"/>
        <w:numPr>
          <w:ilvl w:val="0"/>
          <w:numId w:val="4"/>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Capacity and capability in general practice to support this type of change</w:t>
      </w:r>
    </w:p>
    <w:p w:rsidR="00B13309" w:rsidRDefault="004777AA" w:rsidP="00B13309">
      <w:pPr>
        <w:pStyle w:val="ListParagraph"/>
        <w:numPr>
          <w:ilvl w:val="0"/>
          <w:numId w:val="4"/>
        </w:numPr>
        <w:shd w:val="clear" w:color="auto" w:fill="FFFFFF"/>
        <w:spacing w:after="0" w:line="240" w:lineRule="auto"/>
        <w:rPr>
          <w:rFonts w:ascii="Arial" w:eastAsia="Times New Roman" w:hAnsi="Arial" w:cs="Arial"/>
          <w:color w:val="000000"/>
          <w:sz w:val="24"/>
          <w:szCs w:val="24"/>
          <w:lang w:eastAsia="en-GB"/>
        </w:rPr>
      </w:pPr>
      <w:r w:rsidRPr="004777AA">
        <w:rPr>
          <w:rFonts w:ascii="Arial" w:eastAsia="Times New Roman" w:hAnsi="Arial" w:cs="Arial"/>
          <w:color w:val="000000"/>
          <w:sz w:val="24"/>
          <w:szCs w:val="24"/>
          <w:lang w:eastAsia="en-GB"/>
        </w:rPr>
        <w:t>Workforce pressures to free staff to become involved and undertake adequate measurement</w:t>
      </w:r>
      <w:r w:rsidR="00B13309">
        <w:rPr>
          <w:rFonts w:ascii="Arial" w:eastAsia="Times New Roman" w:hAnsi="Arial" w:cs="Arial"/>
          <w:color w:val="000000"/>
          <w:sz w:val="24"/>
          <w:szCs w:val="24"/>
          <w:lang w:eastAsia="en-GB"/>
        </w:rPr>
        <w:t>;</w:t>
      </w:r>
    </w:p>
    <w:p w:rsidR="00ED2283" w:rsidRPr="00B13309" w:rsidRDefault="002C6A07" w:rsidP="00B13309">
      <w:pPr>
        <w:pStyle w:val="ListParagraph"/>
        <w:numPr>
          <w:ilvl w:val="0"/>
          <w:numId w:val="4"/>
        </w:num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Lack of training to support the needs of people with complex care needs and frailty</w:t>
      </w:r>
      <w:r w:rsidR="004777AA" w:rsidRPr="00B13309">
        <w:rPr>
          <w:rFonts w:ascii="Arial" w:eastAsia="Times New Roman" w:hAnsi="Arial" w:cs="Arial"/>
          <w:color w:val="000000"/>
          <w:sz w:val="24"/>
          <w:szCs w:val="24"/>
          <w:lang w:eastAsia="en-GB"/>
        </w:rPr>
        <w:t xml:space="preserve">. </w:t>
      </w:r>
    </w:p>
    <w:p w:rsidR="00ED2283" w:rsidRPr="00ED2283" w:rsidRDefault="00ED2283" w:rsidP="00ED2283">
      <w:pPr>
        <w:shd w:val="clear" w:color="auto" w:fill="FFFFFF"/>
        <w:spacing w:after="0" w:line="240" w:lineRule="auto"/>
        <w:rPr>
          <w:rFonts w:ascii="Arial" w:eastAsia="Times New Roman" w:hAnsi="Arial" w:cs="Arial"/>
          <w:color w:val="000000"/>
          <w:sz w:val="24"/>
          <w:szCs w:val="24"/>
          <w:lang w:eastAsia="en-GB"/>
        </w:rPr>
      </w:pPr>
      <w:r w:rsidRPr="00ED2283">
        <w:rPr>
          <w:rFonts w:ascii="Arial" w:eastAsia="Times New Roman" w:hAnsi="Arial" w:cs="Arial"/>
          <w:color w:val="000000"/>
          <w:sz w:val="24"/>
          <w:szCs w:val="24"/>
          <w:lang w:eastAsia="en-GB"/>
        </w:rPr>
        <w:t xml:space="preserve"> </w:t>
      </w:r>
    </w:p>
    <w:p w:rsidR="00ED2283" w:rsidRDefault="00ED2283" w:rsidP="00ED2283">
      <w:pPr>
        <w:shd w:val="clear" w:color="auto" w:fill="FFFFFF"/>
        <w:spacing w:after="0" w:line="240" w:lineRule="auto"/>
        <w:rPr>
          <w:rFonts w:ascii="Arial" w:eastAsia="Times New Roman" w:hAnsi="Arial" w:cs="Arial"/>
          <w:b/>
          <w:color w:val="000000"/>
          <w:sz w:val="24"/>
          <w:szCs w:val="24"/>
          <w:lang w:eastAsia="en-GB"/>
        </w:rPr>
      </w:pPr>
      <w:r w:rsidRPr="004777AA">
        <w:rPr>
          <w:rFonts w:ascii="Arial" w:eastAsia="Times New Roman" w:hAnsi="Arial" w:cs="Arial"/>
          <w:b/>
          <w:color w:val="000000"/>
          <w:sz w:val="24"/>
          <w:szCs w:val="24"/>
          <w:lang w:eastAsia="en-GB"/>
        </w:rPr>
        <w:t xml:space="preserve">Which other organisations have been involved with the </w:t>
      </w:r>
      <w:r w:rsidR="004777AA">
        <w:rPr>
          <w:rFonts w:ascii="Arial" w:eastAsia="Times New Roman" w:hAnsi="Arial" w:cs="Arial"/>
          <w:b/>
          <w:color w:val="000000"/>
          <w:sz w:val="24"/>
          <w:szCs w:val="24"/>
          <w:lang w:eastAsia="en-GB"/>
        </w:rPr>
        <w:t>d</w:t>
      </w:r>
      <w:r w:rsidRPr="004777AA">
        <w:rPr>
          <w:rFonts w:ascii="Arial" w:eastAsia="Times New Roman" w:hAnsi="Arial" w:cs="Arial"/>
          <w:b/>
          <w:color w:val="000000"/>
          <w:sz w:val="24"/>
          <w:szCs w:val="24"/>
          <w:lang w:eastAsia="en-GB"/>
        </w:rPr>
        <w:t>evelopment/implementation of your idea?</w:t>
      </w:r>
    </w:p>
    <w:p w:rsidR="00ED2283" w:rsidRPr="00ED2283" w:rsidRDefault="00564FA0" w:rsidP="00ED2283">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initiative was led by Sheinaz Stansfield Practice Manager. She was supported by all the staff and partners at Oxford Terrace and Rawling Road Medical Group, Mrs Lesley Bainbridge, Angus McLennan, and Lynn Shaw from South Tyneside NHSFT: Community Services were involved. There was involvement and support from the Director of Adult services from Gateshead Council, the Urgent Care Lead from Gateshead CCG also was also involved with the support of the CCG Executive.</w:t>
      </w:r>
      <w:r w:rsidR="00ED2283" w:rsidRPr="00ED2283">
        <w:rPr>
          <w:rFonts w:ascii="Arial" w:eastAsia="Times New Roman" w:hAnsi="Arial" w:cs="Arial"/>
          <w:color w:val="000000"/>
          <w:sz w:val="24"/>
          <w:szCs w:val="24"/>
          <w:lang w:eastAsia="en-GB"/>
        </w:rPr>
        <w:t xml:space="preserve"> </w:t>
      </w:r>
    </w:p>
    <w:p w:rsidR="00564FA0" w:rsidRDefault="00564FA0" w:rsidP="00ED2283">
      <w:pPr>
        <w:shd w:val="clear" w:color="auto" w:fill="FFFFFF"/>
        <w:spacing w:after="0" w:line="240" w:lineRule="auto"/>
        <w:rPr>
          <w:rFonts w:ascii="Arial" w:eastAsia="Times New Roman" w:hAnsi="Arial" w:cs="Arial"/>
          <w:b/>
          <w:color w:val="000000"/>
          <w:sz w:val="24"/>
          <w:szCs w:val="24"/>
          <w:lang w:eastAsia="en-GB"/>
        </w:rPr>
      </w:pPr>
    </w:p>
    <w:p w:rsidR="00ED2283" w:rsidRPr="00ED2283" w:rsidRDefault="00ED2283" w:rsidP="00ED2283">
      <w:pPr>
        <w:shd w:val="clear" w:color="auto" w:fill="FFFFFF"/>
        <w:spacing w:after="0" w:line="240" w:lineRule="auto"/>
        <w:rPr>
          <w:rFonts w:ascii="Arial" w:eastAsia="Times New Roman" w:hAnsi="Arial" w:cs="Arial"/>
          <w:b/>
          <w:color w:val="000000"/>
          <w:sz w:val="24"/>
          <w:szCs w:val="24"/>
          <w:lang w:eastAsia="en-GB"/>
        </w:rPr>
      </w:pPr>
      <w:r w:rsidRPr="00ED2283">
        <w:rPr>
          <w:rFonts w:ascii="Arial" w:eastAsia="Times New Roman" w:hAnsi="Arial" w:cs="Arial"/>
          <w:b/>
          <w:color w:val="000000"/>
          <w:sz w:val="24"/>
          <w:szCs w:val="24"/>
          <w:lang w:eastAsia="en-GB"/>
        </w:rPr>
        <w:t>Adoption and sharing best practice</w:t>
      </w:r>
    </w:p>
    <w:p w:rsidR="00564FA0" w:rsidRDefault="00564FA0" w:rsidP="00ED2283">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intervention is easily replicable and has been shared with Gateshead CCG to inform future commissioning of community services.</w:t>
      </w:r>
    </w:p>
    <w:p w:rsidR="00ED2283" w:rsidRPr="00ED2283" w:rsidRDefault="00564FA0" w:rsidP="00ED2283">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ED2283" w:rsidRPr="004777AA" w:rsidRDefault="00ED2283" w:rsidP="00ED2283">
      <w:pPr>
        <w:shd w:val="clear" w:color="auto" w:fill="FFFFFF"/>
        <w:spacing w:after="0" w:line="240" w:lineRule="auto"/>
        <w:rPr>
          <w:rFonts w:ascii="Arial" w:eastAsia="Times New Roman" w:hAnsi="Arial" w:cs="Arial"/>
          <w:b/>
          <w:color w:val="000000"/>
          <w:sz w:val="24"/>
          <w:szCs w:val="24"/>
          <w:lang w:eastAsia="en-GB"/>
        </w:rPr>
      </w:pPr>
      <w:r w:rsidRPr="004777AA">
        <w:rPr>
          <w:rFonts w:ascii="Arial" w:eastAsia="Times New Roman" w:hAnsi="Arial" w:cs="Arial"/>
          <w:b/>
          <w:color w:val="000000"/>
          <w:sz w:val="24"/>
          <w:szCs w:val="24"/>
          <w:lang w:eastAsia="en-GB"/>
        </w:rPr>
        <w:t>Are you aware of anyone conducting research or trying to solve the same problem?</w:t>
      </w:r>
    </w:p>
    <w:p w:rsidR="00ED2283" w:rsidRPr="004777AA" w:rsidRDefault="00ED2283" w:rsidP="00ED2283">
      <w:pPr>
        <w:shd w:val="clear" w:color="auto" w:fill="FFFFFF"/>
        <w:spacing w:after="0" w:line="240" w:lineRule="auto"/>
        <w:rPr>
          <w:rFonts w:ascii="Arial" w:eastAsia="Times New Roman" w:hAnsi="Arial" w:cs="Arial"/>
          <w:b/>
          <w:color w:val="000000"/>
          <w:sz w:val="24"/>
          <w:szCs w:val="24"/>
          <w:lang w:eastAsia="en-GB"/>
        </w:rPr>
      </w:pPr>
      <w:r w:rsidRPr="004777AA">
        <w:rPr>
          <w:rFonts w:ascii="Arial" w:eastAsia="Times New Roman" w:hAnsi="Arial" w:cs="Arial"/>
          <w:b/>
          <w:color w:val="000000"/>
          <w:sz w:val="24"/>
          <w:szCs w:val="24"/>
          <w:lang w:eastAsia="en-GB"/>
        </w:rPr>
        <w:t>If so, who?</w:t>
      </w:r>
    </w:p>
    <w:p w:rsidR="004777AA" w:rsidRDefault="00564FA0" w:rsidP="00ED2283">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 am not aware of any formal research, however, Gateshead CCG have used this to inform commissioning of community services. In addition, practices in Gateshead have used the outcomes for service developments for the national £5 per head initiative, to manage complex care and reduce attendances and admissions through A&amp;E.</w:t>
      </w:r>
    </w:p>
    <w:p w:rsidR="00ED2283" w:rsidRPr="00ED2283" w:rsidRDefault="00ED2283" w:rsidP="00ED2283">
      <w:pPr>
        <w:shd w:val="clear" w:color="auto" w:fill="FFFFFF"/>
        <w:spacing w:after="0" w:line="240" w:lineRule="auto"/>
        <w:rPr>
          <w:rFonts w:ascii="Arial" w:eastAsia="Times New Roman" w:hAnsi="Arial" w:cs="Arial"/>
          <w:color w:val="000000"/>
          <w:sz w:val="24"/>
          <w:szCs w:val="24"/>
          <w:lang w:eastAsia="en-GB"/>
        </w:rPr>
      </w:pPr>
    </w:p>
    <w:p w:rsidR="00ED2283" w:rsidRDefault="00ED2283" w:rsidP="00ED2283">
      <w:pPr>
        <w:shd w:val="clear" w:color="auto" w:fill="FFFFFF"/>
        <w:spacing w:line="240" w:lineRule="auto"/>
        <w:rPr>
          <w:rFonts w:ascii="Arial" w:eastAsia="Times New Roman" w:hAnsi="Arial" w:cs="Arial"/>
          <w:b/>
          <w:color w:val="000000"/>
          <w:sz w:val="24"/>
          <w:szCs w:val="24"/>
          <w:lang w:eastAsia="en-GB"/>
        </w:rPr>
      </w:pPr>
      <w:r w:rsidRPr="004777AA">
        <w:rPr>
          <w:rFonts w:ascii="Arial" w:eastAsia="Times New Roman" w:hAnsi="Arial" w:cs="Arial"/>
          <w:b/>
          <w:color w:val="000000"/>
          <w:sz w:val="24"/>
          <w:szCs w:val="24"/>
          <w:lang w:eastAsia="en-GB"/>
        </w:rPr>
        <w:t xml:space="preserve">Should this idea go further, would you be prepared to invest your time in its development? </w:t>
      </w:r>
    </w:p>
    <w:p w:rsidR="002F3119" w:rsidRDefault="004777AA" w:rsidP="00AA3D5C">
      <w:pPr>
        <w:shd w:val="clear" w:color="auto" w:fill="FFFFFF"/>
        <w:spacing w:line="240" w:lineRule="auto"/>
      </w:pPr>
      <w:r w:rsidRPr="004777AA">
        <w:rPr>
          <w:rFonts w:ascii="Arial" w:eastAsia="Times New Roman" w:hAnsi="Arial" w:cs="Arial"/>
          <w:color w:val="000000"/>
          <w:sz w:val="24"/>
          <w:szCs w:val="24"/>
          <w:lang w:eastAsia="en-GB"/>
        </w:rPr>
        <w:t xml:space="preserve">Yes it needs to go further, if we are to manage workforce challenges and improve </w:t>
      </w:r>
      <w:r w:rsidR="00564FA0">
        <w:rPr>
          <w:rFonts w:ascii="Arial" w:eastAsia="Times New Roman" w:hAnsi="Arial" w:cs="Arial"/>
          <w:color w:val="000000"/>
          <w:sz w:val="24"/>
          <w:szCs w:val="24"/>
          <w:lang w:eastAsia="en-GB"/>
        </w:rPr>
        <w:t>integration of services around patient need</w:t>
      </w:r>
      <w:r w:rsidRPr="004777AA">
        <w:rPr>
          <w:rFonts w:ascii="Arial" w:eastAsia="Times New Roman" w:hAnsi="Arial" w:cs="Arial"/>
          <w:color w:val="000000"/>
          <w:sz w:val="24"/>
          <w:szCs w:val="24"/>
          <w:lang w:eastAsia="en-GB"/>
        </w:rPr>
        <w:t>. In addition the skills set for practice nurses will have to change going forward</w:t>
      </w:r>
      <w:r w:rsidR="00AA3D5C">
        <w:rPr>
          <w:rFonts w:ascii="Arial" w:eastAsia="Times New Roman" w:hAnsi="Arial" w:cs="Arial"/>
          <w:color w:val="000000"/>
          <w:sz w:val="24"/>
          <w:szCs w:val="24"/>
          <w:lang w:eastAsia="en-GB"/>
        </w:rPr>
        <w:t>,</w:t>
      </w:r>
      <w:r w:rsidRPr="004777AA">
        <w:rPr>
          <w:rFonts w:ascii="Arial" w:eastAsia="Times New Roman" w:hAnsi="Arial" w:cs="Arial"/>
          <w:color w:val="000000"/>
          <w:sz w:val="24"/>
          <w:szCs w:val="24"/>
          <w:lang w:eastAsia="en-GB"/>
        </w:rPr>
        <w:t xml:space="preserve"> to manage the long term conditions tsunami and demographic changes </w:t>
      </w:r>
      <w:r w:rsidR="00564FA0">
        <w:rPr>
          <w:rFonts w:ascii="Arial" w:eastAsia="Times New Roman" w:hAnsi="Arial" w:cs="Arial"/>
          <w:color w:val="000000"/>
          <w:sz w:val="24"/>
          <w:szCs w:val="24"/>
          <w:lang w:eastAsia="en-GB"/>
        </w:rPr>
        <w:t xml:space="preserve">and frailty </w:t>
      </w:r>
      <w:r w:rsidRPr="004777AA">
        <w:rPr>
          <w:rFonts w:ascii="Arial" w:eastAsia="Times New Roman" w:hAnsi="Arial" w:cs="Arial"/>
          <w:color w:val="000000"/>
          <w:sz w:val="24"/>
          <w:szCs w:val="24"/>
          <w:lang w:eastAsia="en-GB"/>
        </w:rPr>
        <w:t xml:space="preserve">that lie ahead. </w:t>
      </w:r>
      <w:r>
        <w:rPr>
          <w:rFonts w:ascii="Arial" w:eastAsia="Times New Roman" w:hAnsi="Arial" w:cs="Arial"/>
          <w:color w:val="000000"/>
          <w:sz w:val="24"/>
          <w:szCs w:val="24"/>
          <w:lang w:eastAsia="en-GB"/>
        </w:rPr>
        <w:t xml:space="preserve">The emergent impact of frailty being classified as a long term condition will also require nurses to work differently and move away from task based care to personalised care planning. The approach we have taken has enabled us to become early adopters </w:t>
      </w:r>
      <w:r w:rsidR="00AF4337">
        <w:rPr>
          <w:rFonts w:ascii="Arial" w:eastAsia="Times New Roman" w:hAnsi="Arial" w:cs="Arial"/>
          <w:color w:val="000000"/>
          <w:sz w:val="24"/>
          <w:szCs w:val="24"/>
          <w:lang w:eastAsia="en-GB"/>
        </w:rPr>
        <w:t>and inform commissioning of community services</w:t>
      </w:r>
      <w:r>
        <w:rPr>
          <w:rFonts w:ascii="Arial" w:eastAsia="Times New Roman" w:hAnsi="Arial" w:cs="Arial"/>
          <w:color w:val="000000"/>
          <w:sz w:val="24"/>
          <w:szCs w:val="24"/>
          <w:lang w:eastAsia="en-GB"/>
        </w:rPr>
        <w:t xml:space="preserve">. </w:t>
      </w:r>
      <w:r w:rsidR="000276D9">
        <w:rPr>
          <w:rFonts w:ascii="Arial" w:eastAsia="Times New Roman" w:hAnsi="Arial" w:cs="Arial"/>
          <w:color w:val="000000"/>
          <w:sz w:val="24"/>
          <w:szCs w:val="24"/>
          <w:lang w:eastAsia="en-GB"/>
        </w:rPr>
        <w:t>The ideas are easily replicable with limited resource. There is also an urgent need to do this.</w:t>
      </w:r>
    </w:p>
    <w:p w:rsidR="00ED2283" w:rsidRDefault="00ED2283">
      <w:r>
        <w:rPr>
          <w:noProof/>
          <w:lang w:eastAsia="en-GB"/>
        </w:rPr>
        <w:t xml:space="preserve">                                                </w:t>
      </w:r>
    </w:p>
    <w:sectPr w:rsidR="00ED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8F4"/>
    <w:multiLevelType w:val="hybridMultilevel"/>
    <w:tmpl w:val="430E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591D"/>
    <w:multiLevelType w:val="hybridMultilevel"/>
    <w:tmpl w:val="1FB8296E"/>
    <w:lvl w:ilvl="0" w:tplc="08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786026E"/>
    <w:multiLevelType w:val="hybridMultilevel"/>
    <w:tmpl w:val="E364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374DD"/>
    <w:multiLevelType w:val="hybridMultilevel"/>
    <w:tmpl w:val="AF4EEEC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nsid w:val="46EB6498"/>
    <w:multiLevelType w:val="hybridMultilevel"/>
    <w:tmpl w:val="C424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1C1FF2"/>
    <w:multiLevelType w:val="hybridMultilevel"/>
    <w:tmpl w:val="5E20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2F4270"/>
    <w:multiLevelType w:val="hybridMultilevel"/>
    <w:tmpl w:val="242A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83"/>
    <w:rsid w:val="000276D9"/>
    <w:rsid w:val="00034235"/>
    <w:rsid w:val="000B22FE"/>
    <w:rsid w:val="001372F3"/>
    <w:rsid w:val="002521A1"/>
    <w:rsid w:val="002C6A07"/>
    <w:rsid w:val="002D5004"/>
    <w:rsid w:val="0036726D"/>
    <w:rsid w:val="004777AA"/>
    <w:rsid w:val="00564FA0"/>
    <w:rsid w:val="006332DC"/>
    <w:rsid w:val="00681EFB"/>
    <w:rsid w:val="007B1F62"/>
    <w:rsid w:val="008D5540"/>
    <w:rsid w:val="00AA3D5C"/>
    <w:rsid w:val="00AE5A1B"/>
    <w:rsid w:val="00AF4337"/>
    <w:rsid w:val="00B13309"/>
    <w:rsid w:val="00B80368"/>
    <w:rsid w:val="00BE1024"/>
    <w:rsid w:val="00D94E70"/>
    <w:rsid w:val="00E02395"/>
    <w:rsid w:val="00ED2283"/>
    <w:rsid w:val="00FA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2DC"/>
    <w:pPr>
      <w:spacing w:after="200" w:line="276" w:lineRule="auto"/>
      <w:ind w:left="720"/>
      <w:contextualSpacing/>
    </w:pPr>
  </w:style>
  <w:style w:type="paragraph" w:styleId="BalloonText">
    <w:name w:val="Balloon Text"/>
    <w:basedOn w:val="Normal"/>
    <w:link w:val="BalloonTextChar"/>
    <w:uiPriority w:val="99"/>
    <w:semiHidden/>
    <w:unhideWhenUsed/>
    <w:rsid w:val="00E0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95"/>
    <w:rPr>
      <w:rFonts w:ascii="Tahoma" w:hAnsi="Tahoma" w:cs="Tahoma"/>
      <w:sz w:val="16"/>
      <w:szCs w:val="16"/>
    </w:rPr>
  </w:style>
  <w:style w:type="table" w:styleId="TableGrid">
    <w:name w:val="Table Grid"/>
    <w:basedOn w:val="TableNormal"/>
    <w:uiPriority w:val="99"/>
    <w:rsid w:val="002521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2DC"/>
    <w:pPr>
      <w:spacing w:after="200" w:line="276" w:lineRule="auto"/>
      <w:ind w:left="720"/>
      <w:contextualSpacing/>
    </w:pPr>
  </w:style>
  <w:style w:type="paragraph" w:styleId="BalloonText">
    <w:name w:val="Balloon Text"/>
    <w:basedOn w:val="Normal"/>
    <w:link w:val="BalloonTextChar"/>
    <w:uiPriority w:val="99"/>
    <w:semiHidden/>
    <w:unhideWhenUsed/>
    <w:rsid w:val="00E0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95"/>
    <w:rPr>
      <w:rFonts w:ascii="Tahoma" w:hAnsi="Tahoma" w:cs="Tahoma"/>
      <w:sz w:val="16"/>
      <w:szCs w:val="16"/>
    </w:rPr>
  </w:style>
  <w:style w:type="table" w:styleId="TableGrid">
    <w:name w:val="Table Grid"/>
    <w:basedOn w:val="TableNormal"/>
    <w:uiPriority w:val="99"/>
    <w:rsid w:val="002521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799">
      <w:bodyDiv w:val="1"/>
      <w:marLeft w:val="0"/>
      <w:marRight w:val="0"/>
      <w:marTop w:val="0"/>
      <w:marBottom w:val="0"/>
      <w:divBdr>
        <w:top w:val="none" w:sz="0" w:space="0" w:color="auto"/>
        <w:left w:val="none" w:sz="0" w:space="0" w:color="auto"/>
        <w:bottom w:val="none" w:sz="0" w:space="0" w:color="auto"/>
        <w:right w:val="none" w:sz="0" w:space="0" w:color="auto"/>
      </w:divBdr>
    </w:div>
    <w:div w:id="1366129540">
      <w:bodyDiv w:val="1"/>
      <w:marLeft w:val="0"/>
      <w:marRight w:val="0"/>
      <w:marTop w:val="0"/>
      <w:marBottom w:val="0"/>
      <w:divBdr>
        <w:top w:val="none" w:sz="0" w:space="0" w:color="auto"/>
        <w:left w:val="none" w:sz="0" w:space="0" w:color="auto"/>
        <w:bottom w:val="none" w:sz="0" w:space="0" w:color="auto"/>
        <w:right w:val="none" w:sz="0" w:space="0" w:color="auto"/>
      </w:divBdr>
      <w:divsChild>
        <w:div w:id="2562402">
          <w:marLeft w:val="0"/>
          <w:marRight w:val="0"/>
          <w:marTop w:val="0"/>
          <w:marBottom w:val="0"/>
          <w:divBdr>
            <w:top w:val="none" w:sz="0" w:space="0" w:color="auto"/>
            <w:left w:val="none" w:sz="0" w:space="0" w:color="auto"/>
            <w:bottom w:val="none" w:sz="0" w:space="0" w:color="auto"/>
            <w:right w:val="none" w:sz="0" w:space="0" w:color="auto"/>
          </w:divBdr>
          <w:divsChild>
            <w:div w:id="1308896629">
              <w:marLeft w:val="0"/>
              <w:marRight w:val="0"/>
              <w:marTop w:val="225"/>
              <w:marBottom w:val="225"/>
              <w:divBdr>
                <w:top w:val="none" w:sz="0" w:space="0" w:color="auto"/>
                <w:left w:val="none" w:sz="0" w:space="0" w:color="auto"/>
                <w:bottom w:val="none" w:sz="0" w:space="0" w:color="auto"/>
                <w:right w:val="none" w:sz="0" w:space="0" w:color="auto"/>
              </w:divBdr>
              <w:divsChild>
                <w:div w:id="606473756">
                  <w:marLeft w:val="0"/>
                  <w:marRight w:val="420"/>
                  <w:marTop w:val="0"/>
                  <w:marBottom w:val="0"/>
                  <w:divBdr>
                    <w:top w:val="none" w:sz="0" w:space="0" w:color="auto"/>
                    <w:left w:val="none" w:sz="0" w:space="0" w:color="auto"/>
                    <w:bottom w:val="none" w:sz="0" w:space="0" w:color="auto"/>
                    <w:right w:val="none" w:sz="0" w:space="0" w:color="auto"/>
                  </w:divBdr>
                  <w:divsChild>
                    <w:div w:id="1782914271">
                      <w:marLeft w:val="0"/>
                      <w:marRight w:val="0"/>
                      <w:marTop w:val="0"/>
                      <w:marBottom w:val="0"/>
                      <w:divBdr>
                        <w:top w:val="none" w:sz="0" w:space="0" w:color="auto"/>
                        <w:left w:val="none" w:sz="0" w:space="0" w:color="auto"/>
                        <w:bottom w:val="none" w:sz="0" w:space="0" w:color="auto"/>
                        <w:right w:val="none" w:sz="0" w:space="0" w:color="auto"/>
                      </w:divBdr>
                      <w:divsChild>
                        <w:div w:id="1346324314">
                          <w:marLeft w:val="0"/>
                          <w:marRight w:val="0"/>
                          <w:marTop w:val="0"/>
                          <w:marBottom w:val="0"/>
                          <w:divBdr>
                            <w:top w:val="none" w:sz="0" w:space="0" w:color="auto"/>
                            <w:left w:val="none" w:sz="0" w:space="0" w:color="auto"/>
                            <w:bottom w:val="none" w:sz="0" w:space="0" w:color="auto"/>
                            <w:right w:val="none" w:sz="0" w:space="0" w:color="auto"/>
                          </w:divBdr>
                          <w:divsChild>
                            <w:div w:id="1818107819">
                              <w:marLeft w:val="0"/>
                              <w:marRight w:val="0"/>
                              <w:marTop w:val="0"/>
                              <w:marBottom w:val="0"/>
                              <w:divBdr>
                                <w:top w:val="none" w:sz="0" w:space="0" w:color="auto"/>
                                <w:left w:val="none" w:sz="0" w:space="0" w:color="auto"/>
                                <w:bottom w:val="none" w:sz="0" w:space="0" w:color="auto"/>
                                <w:right w:val="none" w:sz="0" w:space="0" w:color="auto"/>
                              </w:divBdr>
                            </w:div>
                            <w:div w:id="1697075081">
                              <w:marLeft w:val="0"/>
                              <w:marRight w:val="0"/>
                              <w:marTop w:val="0"/>
                              <w:marBottom w:val="0"/>
                              <w:divBdr>
                                <w:top w:val="none" w:sz="0" w:space="0" w:color="auto"/>
                                <w:left w:val="none" w:sz="0" w:space="0" w:color="auto"/>
                                <w:bottom w:val="none" w:sz="0" w:space="0" w:color="auto"/>
                                <w:right w:val="none" w:sz="0" w:space="0" w:color="auto"/>
                              </w:divBdr>
                            </w:div>
                            <w:div w:id="1706179166">
                              <w:marLeft w:val="0"/>
                              <w:marRight w:val="0"/>
                              <w:marTop w:val="0"/>
                              <w:marBottom w:val="0"/>
                              <w:divBdr>
                                <w:top w:val="none" w:sz="0" w:space="0" w:color="auto"/>
                                <w:left w:val="none" w:sz="0" w:space="0" w:color="auto"/>
                                <w:bottom w:val="none" w:sz="0" w:space="0" w:color="auto"/>
                                <w:right w:val="none" w:sz="0" w:space="0" w:color="auto"/>
                              </w:divBdr>
                            </w:div>
                            <w:div w:id="943391043">
                              <w:marLeft w:val="0"/>
                              <w:marRight w:val="0"/>
                              <w:marTop w:val="0"/>
                              <w:marBottom w:val="0"/>
                              <w:divBdr>
                                <w:top w:val="none" w:sz="0" w:space="0" w:color="auto"/>
                                <w:left w:val="none" w:sz="0" w:space="0" w:color="auto"/>
                                <w:bottom w:val="none" w:sz="0" w:space="0" w:color="auto"/>
                                <w:right w:val="none" w:sz="0" w:space="0" w:color="auto"/>
                              </w:divBdr>
                            </w:div>
                            <w:div w:id="35743822">
                              <w:marLeft w:val="0"/>
                              <w:marRight w:val="0"/>
                              <w:marTop w:val="0"/>
                              <w:marBottom w:val="0"/>
                              <w:divBdr>
                                <w:top w:val="none" w:sz="0" w:space="0" w:color="auto"/>
                                <w:left w:val="none" w:sz="0" w:space="0" w:color="auto"/>
                                <w:bottom w:val="none" w:sz="0" w:space="0" w:color="auto"/>
                                <w:right w:val="none" w:sz="0" w:space="0" w:color="auto"/>
                              </w:divBdr>
                            </w:div>
                            <w:div w:id="812983002">
                              <w:marLeft w:val="0"/>
                              <w:marRight w:val="0"/>
                              <w:marTop w:val="0"/>
                              <w:marBottom w:val="0"/>
                              <w:divBdr>
                                <w:top w:val="none" w:sz="0" w:space="0" w:color="auto"/>
                                <w:left w:val="none" w:sz="0" w:space="0" w:color="auto"/>
                                <w:bottom w:val="none" w:sz="0" w:space="0" w:color="auto"/>
                                <w:right w:val="none" w:sz="0" w:space="0" w:color="auto"/>
                              </w:divBdr>
                            </w:div>
                            <w:div w:id="566918133">
                              <w:marLeft w:val="0"/>
                              <w:marRight w:val="0"/>
                              <w:marTop w:val="0"/>
                              <w:marBottom w:val="0"/>
                              <w:divBdr>
                                <w:top w:val="none" w:sz="0" w:space="0" w:color="auto"/>
                                <w:left w:val="none" w:sz="0" w:space="0" w:color="auto"/>
                                <w:bottom w:val="none" w:sz="0" w:space="0" w:color="auto"/>
                                <w:right w:val="none" w:sz="0" w:space="0" w:color="auto"/>
                              </w:divBdr>
                            </w:div>
                            <w:div w:id="240608353">
                              <w:marLeft w:val="0"/>
                              <w:marRight w:val="0"/>
                              <w:marTop w:val="0"/>
                              <w:marBottom w:val="0"/>
                              <w:divBdr>
                                <w:top w:val="none" w:sz="0" w:space="0" w:color="auto"/>
                                <w:left w:val="none" w:sz="0" w:space="0" w:color="auto"/>
                                <w:bottom w:val="none" w:sz="0" w:space="0" w:color="auto"/>
                                <w:right w:val="none" w:sz="0" w:space="0" w:color="auto"/>
                              </w:divBdr>
                            </w:div>
                            <w:div w:id="32311438">
                              <w:marLeft w:val="0"/>
                              <w:marRight w:val="0"/>
                              <w:marTop w:val="0"/>
                              <w:marBottom w:val="0"/>
                              <w:divBdr>
                                <w:top w:val="none" w:sz="0" w:space="0" w:color="auto"/>
                                <w:left w:val="none" w:sz="0" w:space="0" w:color="auto"/>
                                <w:bottom w:val="none" w:sz="0" w:space="0" w:color="auto"/>
                                <w:right w:val="none" w:sz="0" w:space="0" w:color="auto"/>
                              </w:divBdr>
                            </w:div>
                            <w:div w:id="704715079">
                              <w:marLeft w:val="0"/>
                              <w:marRight w:val="0"/>
                              <w:marTop w:val="0"/>
                              <w:marBottom w:val="0"/>
                              <w:divBdr>
                                <w:top w:val="none" w:sz="0" w:space="0" w:color="auto"/>
                                <w:left w:val="none" w:sz="0" w:space="0" w:color="auto"/>
                                <w:bottom w:val="none" w:sz="0" w:space="0" w:color="auto"/>
                                <w:right w:val="none" w:sz="0" w:space="0" w:color="auto"/>
                              </w:divBdr>
                            </w:div>
                            <w:div w:id="11227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Stanghal Computing Ltd</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Bryant</dc:creator>
  <cp:lastModifiedBy>Sheinaz Stansfield</cp:lastModifiedBy>
  <cp:revision>3</cp:revision>
  <dcterms:created xsi:type="dcterms:W3CDTF">2015-04-07T09:36:00Z</dcterms:created>
  <dcterms:modified xsi:type="dcterms:W3CDTF">2015-04-07T09:58:00Z</dcterms:modified>
</cp:coreProperties>
</file>