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Employee Retention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Session Summary</w:t>
      </w:r>
    </w:p>
    <w:p>
      <w:pPr>
        <w:keepNext w:val="true"/>
        <w:keepLines w:val="true"/>
        <w:numPr>
          <w:ilvl w:val="0"/>
          <w:numId w:val="2"/>
        </w:numPr>
        <w:spacing w:before="36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Session overview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Today’s training session is focused on the following objectives: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Identifying ways to collect and analyse data relating to employee retention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Understanding the significance of onboarding/induction processes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Appreciating the need to promote good work-life balance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Knowing what you can do to empower employees in the workplace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Learning ways to create a positive workplace culture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Understanding the link between employee communication and retention</w:t>
      </w:r>
    </w:p>
    <w:p>
      <w:pPr>
        <w:keepNext w:val="true"/>
        <w:keepLines w:val="true"/>
        <w:numPr>
          <w:ilvl w:val="0"/>
          <w:numId w:val="4"/>
        </w:numPr>
        <w:spacing w:before="36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Structure of learning we are going to cover in this training today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Introductions and session overview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Why care about employee retention?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Understanding employee turnover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Factors which influence retention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Recruitment and induction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Leadership and support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Empowering employees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Learning and development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Team culture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Work-life balance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Reward and recognition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Targeting particular groups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Creating an employee retention plan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Summary, quiz, and final questions</w:t>
      </w:r>
    </w:p>
    <w:p>
      <w:pPr>
        <w:keepNext w:val="true"/>
        <w:keepLines w:val="true"/>
        <w:numPr>
          <w:ilvl w:val="0"/>
          <w:numId w:val="4"/>
        </w:numPr>
        <w:spacing w:before="36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Useful formulas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How to calculate employee turnover rates in your organisation: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Total number of leavers over period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 x 100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Average total number employed over period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How to calculate the stability index (i.e. retention rate) in your organisation: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Number of staff with service of one year or more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 x 100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Total number of staff in post one year ago</w:t>
      </w:r>
    </w:p>
    <w:p>
      <w:pPr>
        <w:keepNext w:val="true"/>
        <w:keepLines w:val="true"/>
        <w:numPr>
          <w:ilvl w:val="0"/>
          <w:numId w:val="14"/>
        </w:numPr>
        <w:spacing w:before="36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Useful links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NHS employee retention resources: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Looking After Our People: Retention Hub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Making General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"https://www.england.nhs.uk/wp-content/uploads/2019/07/making-general-practice-a-great-place-to-work-gp-toolkit.pdf"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Practice a Great Place to Work: A practical toolkit to improve the retention of GPs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National GP 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"https://www.england.nhs.uk/gp/the-best-place-to-work/retaining-the-current-medical-workforce/retained-doctors/"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Retention Scheme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Improving Staff Retention: 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"https://www.nhsemployers.org/publications/improving-staff-retention"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NHS Employers guide for line managers</w:t>
        </w:r>
      </w:hyperlink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QOF guidance for 2023/24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see pp. 105-115 for workforce wellbeing evaluation requirements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Health and Safety Executive (HSE) resources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Talking 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"https://www.hse.gov.uk/stress/assets/docs/talking-toolkit-nhs-england.pdf"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Toolkit: Preventing work-related stress for NHS service providers in England</w:t>
        </w:r>
      </w:hyperlink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Stress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"https://www.hse.gov.uk/stress/standards/step2/surveys.htm"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surveys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Practice Index resources (for PLUS members)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just a sample of what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 available!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Exit interview form and leavers checklist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Flexible 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"https://practiceindex.co.uk/gp/forum/resources/flexible-working-policy.897/?fromcat=84"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working policy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Health and wellbeing policy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Menopause and the workplace policy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Staff induction policy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Blog 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–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helping your team feel 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"https://practiceindex.co.uk/gp/blog/helping-your-team-feel-valued-one-compliment-at-a-time/"</w:t>
        </w:r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valued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44"/>
        </w:numPr>
        <w:spacing w:before="36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Top Tips for Improving Employee Retention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Identify any issues and problems using data where you can (e.g. leaver data, exit interview forms, employee satisfaction surveys, workplace stress audits, etc)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Think out of the box when considering issues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and prepare to potentially take on feedback you don’t want to hear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Respond to workplace concerns/issues affecting retention genuinely, and with enthusiasm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Tackle things in manageable chunks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Keep reviewing as you go along!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If you have any queries about this Virtual Training session, please email: </w:t>
      </w:r>
      <w:hyperlink xmlns:r="http://schemas.openxmlformats.org/officeDocument/2006/relationships" r:id="docRId13">
        <w:r>
          <w:rPr>
            <w:rFonts w:ascii="Arial" w:hAnsi="Arial" w:cs="Arial" w:eastAsia="Arial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info@practiceindex.co.uk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num w:numId="2">
    <w:abstractNumId w:val="126"/>
  </w:num>
  <w:num w:numId="4">
    <w:abstractNumId w:val="120"/>
  </w:num>
  <w:num w:numId="14">
    <w:abstractNumId w:val="114"/>
  </w:num>
  <w:num w:numId="16">
    <w:abstractNumId w:val="108"/>
  </w:num>
  <w:num w:numId="18">
    <w:abstractNumId w:val="102"/>
  </w:num>
  <w:num w:numId="20">
    <w:abstractNumId w:val="96"/>
  </w:num>
  <w:num w:numId="22">
    <w:abstractNumId w:val="90"/>
  </w:num>
  <w:num w:numId="24">
    <w:abstractNumId w:val="84"/>
  </w:num>
  <w:num w:numId="28">
    <w:abstractNumId w:val="78"/>
  </w:num>
  <w:num w:numId="30">
    <w:abstractNumId w:val="72"/>
  </w:num>
  <w:num w:numId="32">
    <w:abstractNumId w:val="66"/>
  </w:num>
  <w:num w:numId="34">
    <w:abstractNumId w:val="60"/>
  </w:num>
  <w:num w:numId="36">
    <w:abstractNumId w:val="54"/>
  </w:num>
  <w:num w:numId="38">
    <w:abstractNumId w:val="48"/>
  </w:num>
  <w:num w:numId="40">
    <w:abstractNumId w:val="42"/>
  </w:num>
  <w:num w:numId="42">
    <w:abstractNumId w:val="36"/>
  </w:num>
  <w:num w:numId="44">
    <w:abstractNumId w:val="30"/>
  </w:num>
  <w:num w:numId="46">
    <w:abstractNumId w:val="24"/>
  </w:num>
  <w:num w:numId="48">
    <w:abstractNumId w:val="18"/>
  </w:num>
  <w:num w:numId="50">
    <w:abstractNumId w:val="12"/>
  </w:num>
  <w:num w:numId="52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practiceindex.co.uk" Id="docRId13" Type="http://schemas.openxmlformats.org/officeDocument/2006/relationships/hyperlink" /><Relationship TargetMode="External" Target="https://www.nhsemployers.org/publications/improving-staff-retention" Id="docRId3" Type="http://schemas.openxmlformats.org/officeDocument/2006/relationships/hyperlink" /><Relationship TargetMode="External" Target="https://practiceindex.co.uk/gp/forum/resources/exit-interview-form-and-leavers-checklist.1627/" Id="docRId7" Type="http://schemas.openxmlformats.org/officeDocument/2006/relationships/hyperlink" /><Relationship TargetMode="External" Target="https://practiceindex.co.uk/gp/forum/resources/menopause-and-the-workplace-policy.1426/?fromcat=85" Id="docRId10" Type="http://schemas.openxmlformats.org/officeDocument/2006/relationships/hyperlink" /><Relationship Target="numbering.xml" Id="docRId14" Type="http://schemas.openxmlformats.org/officeDocument/2006/relationships/numbering" /><Relationship TargetMode="External" Target="https://www.england.nhs.uk/gp/the-best-place-to-work/retaining-the-current-medical-workforce/retained-doctors/" Id="docRId2" Type="http://schemas.openxmlformats.org/officeDocument/2006/relationships/hyperlink" /><Relationship TargetMode="External" Target="https://www.hse.gov.uk/stress/standards/step2/surveys.htm" Id="docRId6" Type="http://schemas.openxmlformats.org/officeDocument/2006/relationships/hyperlink" /><Relationship TargetMode="External" Target="https://www.england.nhs.uk/wp-content/uploads/2019/07/making-general-practice-a-great-place-to-work-gp-toolkit.pdf" Id="docRId1" Type="http://schemas.openxmlformats.org/officeDocument/2006/relationships/hyperlink" /><Relationship TargetMode="External" Target="https://practiceindex.co.uk/gp/forum/resources/staff-induction-policy.952/" Id="docRId11" Type="http://schemas.openxmlformats.org/officeDocument/2006/relationships/hyperlink" /><Relationship Target="styles.xml" Id="docRId15" Type="http://schemas.openxmlformats.org/officeDocument/2006/relationships/styles" /><Relationship TargetMode="External" Target="https://www.hse.gov.uk/stress/assets/docs/talking-toolkit-nhs-england.pdf" Id="docRId5" Type="http://schemas.openxmlformats.org/officeDocument/2006/relationships/hyperlink" /><Relationship TargetMode="External" Target="https://practiceindex.co.uk/gp/forum/resources/health-and-wellbeing-policy.1534/?fromcat=85" Id="docRId9" Type="http://schemas.openxmlformats.org/officeDocument/2006/relationships/hyperlink" /><Relationship TargetMode="External" Target="https://www.england.nhs.uk/looking-after-our-people/" Id="docRId0" Type="http://schemas.openxmlformats.org/officeDocument/2006/relationships/hyperlink" /><Relationship TargetMode="External" Target="https://practiceindex.co.uk/gp/blog/helping-your-team-feel-valued-one-compliment-at-a-time/" Id="docRId12" Type="http://schemas.openxmlformats.org/officeDocument/2006/relationships/hyperlink" /><Relationship TargetMode="External" Target="https://www.england.nhs.uk/wp-content/uploads/2023/03/PRN00289-quality-and-outcomes-framework-guidance-for-2023-24.pdf" Id="docRId4" Type="http://schemas.openxmlformats.org/officeDocument/2006/relationships/hyperlink" /><Relationship TargetMode="External" Target="https://practiceindex.co.uk/gp/forum/resources/flexible-working-policy.897/?fromcat=84" Id="docRId8" Type="http://schemas.openxmlformats.org/officeDocument/2006/relationships/hyperlink" /></Relationships>
</file>